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6D" w:rsidRDefault="003B692A" w:rsidP="000C3207">
      <w:pPr>
        <w:tabs>
          <w:tab w:val="left" w:pos="216"/>
        </w:tabs>
        <w:spacing w:after="0" w:line="240" w:lineRule="auto"/>
        <w:jc w:val="center"/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</w:pPr>
      <w:r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  <w:t xml:space="preserve">Tabla de Aplicabilidad </w:t>
      </w:r>
      <w:r w:rsidR="00BA6080"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  <w:t>I</w:t>
      </w:r>
      <w:r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  <w:t>ntegra</w:t>
      </w:r>
      <w:r w:rsidR="00BA6080"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  <w:t>l</w:t>
      </w:r>
    </w:p>
    <w:p w:rsidR="00207854" w:rsidRPr="00166C6D" w:rsidRDefault="00207854" w:rsidP="00A4549E">
      <w:pPr>
        <w:tabs>
          <w:tab w:val="left" w:pos="216"/>
        </w:tabs>
        <w:spacing w:after="0" w:line="240" w:lineRule="auto"/>
        <w:jc w:val="both"/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</w:pPr>
      <w:r>
        <w:rPr>
          <w:rFonts w:ascii="Candara" w:eastAsia="Times New Roman" w:hAnsi="Candara" w:cs="Times New Roman"/>
          <w:b/>
          <w:bCs/>
          <w:color w:val="4F6228" w:themeColor="accent3" w:themeShade="80"/>
          <w:sz w:val="24"/>
          <w:lang w:eastAsia="es-MX"/>
        </w:rPr>
        <w:t>O</w:t>
      </w:r>
      <w:r w:rsidR="000E0289" w:rsidRPr="004A77C3">
        <w:rPr>
          <w:rFonts w:ascii="Candara" w:eastAsia="Times New Roman" w:hAnsi="Candara" w:cs="Times New Roman"/>
          <w:b/>
          <w:bCs/>
          <w:color w:val="4F6228" w:themeColor="accent3" w:themeShade="80"/>
          <w:sz w:val="24"/>
          <w:lang w:eastAsia="es-MX"/>
        </w:rPr>
        <w:t>bliga</w:t>
      </w:r>
      <w:r>
        <w:rPr>
          <w:rFonts w:ascii="Candara" w:eastAsia="Times New Roman" w:hAnsi="Candara" w:cs="Times New Roman"/>
          <w:b/>
          <w:bCs/>
          <w:color w:val="4F6228" w:themeColor="accent3" w:themeShade="80"/>
          <w:sz w:val="24"/>
          <w:lang w:eastAsia="es-MX"/>
        </w:rPr>
        <w:t>ciones de transparencia comunes, específicas y adicionales establecidas en la Ley General de Transparencia y Acceso a la Información Pública (LGT) y la Ley de Transparencia y Acceso a la Información Pública para el Estado de Oaxaca (LTO).</w:t>
      </w:r>
    </w:p>
    <w:p w:rsidR="00207854" w:rsidRDefault="00207854" w:rsidP="00A4549E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color w:val="4F6228" w:themeColor="accent3" w:themeShade="80"/>
          <w:sz w:val="24"/>
          <w:lang w:eastAsia="es-MX"/>
        </w:rPr>
      </w:pPr>
    </w:p>
    <w:p w:rsidR="000F7861" w:rsidRPr="00716A82" w:rsidRDefault="00297A36" w:rsidP="00A4549E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szCs w:val="32"/>
          <w:lang w:eastAsia="es-MX"/>
        </w:rPr>
      </w:pPr>
      <w:r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  <w:t xml:space="preserve">Sujeto </w:t>
      </w:r>
      <w:r w:rsidRPr="00716A82"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  <w:t xml:space="preserve">obligado: </w:t>
      </w:r>
      <w:r w:rsidR="00444FF4"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szCs w:val="24"/>
          <w:lang w:eastAsia="es-MX"/>
        </w:rPr>
        <w:t>UNIVERSIDAD DEL MAR (UMAR)</w:t>
      </w:r>
      <w:r w:rsidR="003C762E" w:rsidRPr="003C762E">
        <w:rPr>
          <w:rFonts w:ascii="Candara" w:eastAsia="Times New Roman" w:hAnsi="Candara" w:cs="Times New Roman"/>
          <w:b/>
          <w:sz w:val="18"/>
          <w:lang w:eastAsia="es-MX"/>
        </w:rPr>
        <w:t xml:space="preserve"> </w:t>
      </w:r>
    </w:p>
    <w:p w:rsidR="00297A36" w:rsidRPr="0085175D" w:rsidRDefault="00297A36" w:rsidP="00A4549E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sz w:val="18"/>
          <w:lang w:eastAsia="es-MX"/>
        </w:rPr>
      </w:pPr>
    </w:p>
    <w:tbl>
      <w:tblPr>
        <w:tblW w:w="14217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"/>
        <w:gridCol w:w="1792"/>
        <w:gridCol w:w="51"/>
        <w:gridCol w:w="3634"/>
        <w:gridCol w:w="51"/>
        <w:gridCol w:w="1083"/>
        <w:gridCol w:w="51"/>
        <w:gridCol w:w="2217"/>
        <w:gridCol w:w="51"/>
        <w:gridCol w:w="2359"/>
        <w:gridCol w:w="51"/>
        <w:gridCol w:w="2784"/>
        <w:gridCol w:w="42"/>
      </w:tblGrid>
      <w:tr w:rsidR="00EA3E19" w:rsidRPr="00166C6D" w:rsidTr="003C21E8">
        <w:trPr>
          <w:gridAfter w:val="1"/>
          <w:wAfter w:w="42" w:type="dxa"/>
          <w:trHeight w:val="907"/>
          <w:tblHeader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  <w:t>LEY / ARTÍCULO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  <w:t>PÁRRAFO / FRACCIÓN / INCISO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EA3E19" w:rsidRPr="000F7861" w:rsidRDefault="005F6095" w:rsidP="00A454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  <w:t>MOTIVACIÓN Y FUNDAMENTACIÓN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EA3E19" w:rsidRPr="000F7861" w:rsidRDefault="005F6095" w:rsidP="00A454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9413BC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  <w:t>FORMATO(S) ASIGNADO(S)</w:t>
            </w:r>
          </w:p>
        </w:tc>
      </w:tr>
      <w:tr w:rsidR="00EA3E19" w:rsidRPr="00984D4C" w:rsidTr="003C21E8">
        <w:trPr>
          <w:gridAfter w:val="1"/>
          <w:wAfter w:w="42" w:type="dxa"/>
          <w:trHeight w:val="768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LGT</w:t>
            </w:r>
          </w:p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 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5F609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F" w:rsidRPr="00166C6D" w:rsidRDefault="0039534F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6440B7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 y Oficina del Abogado General</w:t>
            </w:r>
            <w:r w:rsidR="00242019">
              <w:rPr>
                <w:rFonts w:eastAsia="Times New Roman" w:cs="Times New Roman"/>
                <w:sz w:val="18"/>
                <w:szCs w:val="18"/>
                <w:lang w:eastAsia="es-MX"/>
              </w:rPr>
              <w:t>.</w:t>
            </w:r>
            <w:r w:rsidR="00D9758B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4C" w:rsidRPr="00C94CA3" w:rsidRDefault="00984D4C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EA3E19" w:rsidRPr="0039534F" w:rsidRDefault="003A05EC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9534F">
              <w:rPr>
                <w:rFonts w:eastAsia="Times New Roman" w:cs="Times New Roman"/>
                <w:sz w:val="18"/>
                <w:szCs w:val="18"/>
                <w:lang w:eastAsia="es-MX"/>
              </w:rPr>
              <w:t>Formato 1 LGT_Art_70_Fr_I</w:t>
            </w:r>
          </w:p>
          <w:p w:rsidR="00CB644E" w:rsidRPr="0039534F" w:rsidRDefault="00CB644E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EA3E19" w:rsidRPr="0039534F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EA3E19" w:rsidRPr="0091747E" w:rsidTr="003C21E8">
        <w:trPr>
          <w:gridAfter w:val="1"/>
          <w:wAfter w:w="42" w:type="dxa"/>
          <w:trHeight w:val="2025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39534F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5F609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6440B7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Default="00D9758B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n-US" w:eastAsia="es-MX"/>
              </w:rPr>
            </w:pPr>
            <w:r w:rsidRPr="001053A5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2</w:t>
            </w:r>
            <w:r w:rsidR="001053A5" w:rsidRPr="001053A5">
              <w:rPr>
                <w:rFonts w:eastAsia="Times New Roman" w:cs="Times New Roman"/>
                <w:sz w:val="18"/>
                <w:szCs w:val="18"/>
                <w:lang w:val="en-US" w:eastAsia="es-MX"/>
              </w:rPr>
              <w:t>a</w:t>
            </w:r>
            <w:r w:rsidRPr="001053A5">
              <w:rPr>
                <w:rFonts w:eastAsia="Times New Roman" w:cs="Times New Roman"/>
                <w:sz w:val="18"/>
                <w:szCs w:val="18"/>
                <w:lang w:val="en-US" w:eastAsia="es-MX"/>
              </w:rPr>
              <w:t xml:space="preserve"> LGT_Art_70_Fr_II</w:t>
            </w:r>
          </w:p>
          <w:p w:rsidR="001053A5" w:rsidRPr="001053A5" w:rsidRDefault="001053A5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1053A5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2</w:t>
            </w:r>
            <w:r>
              <w:rPr>
                <w:rFonts w:eastAsia="Times New Roman" w:cs="Times New Roman"/>
                <w:sz w:val="18"/>
                <w:szCs w:val="18"/>
                <w:lang w:val="en-US" w:eastAsia="es-MX"/>
              </w:rPr>
              <w:t>b</w:t>
            </w:r>
            <w:r w:rsidRPr="001053A5">
              <w:rPr>
                <w:rFonts w:eastAsia="Times New Roman" w:cs="Times New Roman"/>
                <w:sz w:val="18"/>
                <w:szCs w:val="18"/>
                <w:lang w:val="en-US" w:eastAsia="es-MX"/>
              </w:rPr>
              <w:t xml:space="preserve"> LGT_Art_70_Fr_II</w:t>
            </w:r>
          </w:p>
        </w:tc>
      </w:tr>
      <w:tr w:rsidR="00EA3E19" w:rsidRPr="0091747E" w:rsidTr="003C21E8">
        <w:trPr>
          <w:gridAfter w:val="1"/>
          <w:wAfter w:w="42" w:type="dxa"/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053A5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val="en-US" w:eastAsia="es-MX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5F609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6440B7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D9758B" w:rsidRDefault="00D9758B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D9758B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3 LGT_Art_70_Fr_III</w:t>
            </w:r>
          </w:p>
        </w:tc>
      </w:tr>
      <w:tr w:rsidR="00EA3E19" w:rsidRPr="0091747E" w:rsidTr="003C21E8">
        <w:trPr>
          <w:gridAfter w:val="1"/>
          <w:wAfter w:w="42" w:type="dxa"/>
          <w:trHeight w:val="927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val="en-US" w:eastAsia="es-MX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5F609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6440B7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Departamento de Recursos Financieros 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776BB" w:rsidRDefault="003A05EC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776BB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4 LGT_Art_70_Fr_IV</w:t>
            </w:r>
          </w:p>
        </w:tc>
      </w:tr>
      <w:tr w:rsidR="00EA3E19" w:rsidRPr="0091747E" w:rsidTr="003C21E8">
        <w:trPr>
          <w:gridAfter w:val="1"/>
          <w:wAfter w:w="42" w:type="dxa"/>
          <w:trHeight w:val="30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8776BB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val="en-US" w:eastAsia="es-MX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5F609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3A05EC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Departamento de Recursos Financieros 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776BB" w:rsidRDefault="003A05EC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776BB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5 LGT_Art_70_Fr_V</w:t>
            </w:r>
          </w:p>
        </w:tc>
      </w:tr>
      <w:tr w:rsidR="00EA3E19" w:rsidRPr="0091747E" w:rsidTr="003C21E8">
        <w:trPr>
          <w:gridAfter w:val="1"/>
          <w:wAfter w:w="42" w:type="dxa"/>
          <w:trHeight w:val="702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8776BB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val="en-US" w:eastAsia="es-MX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9E0A1F" w:rsidRDefault="005F609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E0A1F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9E0A1F" w:rsidRDefault="003A05EC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Departamento de Recursos Financieros 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166C6D" w:rsidRDefault="003A05EC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F36D06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6 LGT_Art_70_Fr_VI</w:t>
            </w:r>
          </w:p>
        </w:tc>
      </w:tr>
      <w:tr w:rsidR="00EA3E19" w:rsidRPr="0091747E" w:rsidTr="003C21E8">
        <w:trPr>
          <w:gridAfter w:val="1"/>
          <w:wAfter w:w="42" w:type="dxa"/>
          <w:trHeight w:val="157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5F609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9152D1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776BB" w:rsidRDefault="009152D1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n-US" w:eastAsia="es-MX"/>
              </w:rPr>
            </w:pPr>
            <w:r w:rsidRPr="008776BB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7 LGT_Art_70_Fr_VII</w:t>
            </w:r>
          </w:p>
        </w:tc>
      </w:tr>
      <w:tr w:rsidR="00EA3E19" w:rsidRPr="0091747E" w:rsidTr="003C21E8">
        <w:trPr>
          <w:gridAfter w:val="1"/>
          <w:wAfter w:w="42" w:type="dxa"/>
          <w:trHeight w:val="24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5F609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9152D1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776BB" w:rsidRDefault="009152D1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776BB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8 LGT_Art_70_Fr_VIII</w:t>
            </w:r>
          </w:p>
        </w:tc>
      </w:tr>
      <w:tr w:rsidR="00EA3E19" w:rsidRPr="0039534F" w:rsidTr="003C21E8">
        <w:trPr>
          <w:gridAfter w:val="1"/>
          <w:wAfter w:w="42" w:type="dxa"/>
          <w:trHeight w:val="64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5F609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DE5DEA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Departamento de Recursos Financieros 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39534F" w:rsidRDefault="001053A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Formato 9</w:t>
            </w:r>
            <w:r w:rsidR="00DE5DEA" w:rsidRPr="0039534F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LGT_Art_70_Fr_IX</w:t>
            </w:r>
          </w:p>
          <w:p w:rsidR="00DE5DEA" w:rsidRPr="0039534F" w:rsidRDefault="00DE5DEA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EA3E19" w:rsidRPr="0091747E" w:rsidTr="003C21E8">
        <w:trPr>
          <w:gridAfter w:val="1"/>
          <w:wAfter w:w="42" w:type="dxa"/>
          <w:trHeight w:val="111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 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5F609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9152D1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776BB" w:rsidRDefault="009152D1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n-US" w:eastAsia="es-MX"/>
              </w:rPr>
            </w:pPr>
            <w:r w:rsidRPr="008776BB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10a LGT_Art_70_Fr_X</w:t>
            </w:r>
          </w:p>
          <w:p w:rsidR="000A4CD0" w:rsidRPr="008776BB" w:rsidRDefault="009152D1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776BB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10b LGT_Art_70_Fr_X</w:t>
            </w:r>
          </w:p>
        </w:tc>
      </w:tr>
      <w:tr w:rsidR="00EA3E19" w:rsidRPr="0091747E" w:rsidTr="003C21E8">
        <w:trPr>
          <w:gridAfter w:val="1"/>
          <w:wAfter w:w="42" w:type="dxa"/>
          <w:trHeight w:val="139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5F609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9152D1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776BB" w:rsidRDefault="009152D1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n-US" w:eastAsia="es-MX"/>
              </w:rPr>
            </w:pPr>
            <w:r w:rsidRPr="008776BB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11 LGT_Art_70_Fr_XI</w:t>
            </w:r>
          </w:p>
        </w:tc>
      </w:tr>
      <w:tr w:rsidR="00EA3E19" w:rsidRPr="0091747E" w:rsidTr="003C21E8">
        <w:trPr>
          <w:gridAfter w:val="1"/>
          <w:wAfter w:w="42" w:type="dxa"/>
          <w:trHeight w:val="13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185727" w:rsidRDefault="005F609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18572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185727" w:rsidRDefault="009152D1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776BB" w:rsidRDefault="009152D1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776BB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12 LGT_Art_70_Fr_XII</w:t>
            </w:r>
          </w:p>
        </w:tc>
      </w:tr>
      <w:tr w:rsidR="00EA3E19" w:rsidRPr="0091747E" w:rsidTr="003C21E8">
        <w:trPr>
          <w:gridAfter w:val="1"/>
          <w:wAfter w:w="42" w:type="dxa"/>
          <w:trHeight w:val="98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5F609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4E2E12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Unidad de Transparencia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166C6D" w:rsidRDefault="004E2E12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F818AF">
              <w:rPr>
                <w:rFonts w:eastAsia="Times New Roman" w:cs="Times New Roman"/>
                <w:sz w:val="18"/>
                <w:szCs w:val="18"/>
                <w:lang w:val="en-US" w:eastAsia="es-MX"/>
              </w:rPr>
              <w:t xml:space="preserve">Formato </w:t>
            </w:r>
            <w:r>
              <w:rPr>
                <w:rFonts w:eastAsia="Times New Roman" w:cs="Times New Roman"/>
                <w:sz w:val="18"/>
                <w:szCs w:val="18"/>
                <w:lang w:val="en-US" w:eastAsia="es-MX"/>
              </w:rPr>
              <w:t>13</w:t>
            </w:r>
            <w:r w:rsidRPr="00F818AF">
              <w:rPr>
                <w:rFonts w:eastAsia="Times New Roman" w:cs="Times New Roman"/>
                <w:sz w:val="18"/>
                <w:szCs w:val="18"/>
                <w:lang w:val="en-US" w:eastAsia="es-MX"/>
              </w:rPr>
              <w:t xml:space="preserve"> LGT_Art_70_Fr_XI</w:t>
            </w:r>
            <w:r>
              <w:rPr>
                <w:rFonts w:eastAsia="Times New Roman" w:cs="Times New Roman"/>
                <w:sz w:val="18"/>
                <w:szCs w:val="18"/>
                <w:lang w:val="en-US" w:eastAsia="es-MX"/>
              </w:rPr>
              <w:t>II</w:t>
            </w:r>
          </w:p>
        </w:tc>
      </w:tr>
      <w:tr w:rsidR="00EA3E19" w:rsidRPr="0091747E" w:rsidTr="003C21E8">
        <w:trPr>
          <w:gridAfter w:val="1"/>
          <w:wAfter w:w="42" w:type="dxa"/>
          <w:trHeight w:val="70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5F609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02B4" w:rsidRPr="00DF2BB3" w:rsidRDefault="005802B4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Vice-Rectoría </w:t>
            </w:r>
            <w:r w:rsidR="00242019">
              <w:rPr>
                <w:rFonts w:eastAsia="Times New Roman" w:cs="Times New Roman"/>
                <w:sz w:val="18"/>
                <w:szCs w:val="18"/>
                <w:lang w:eastAsia="es-MX"/>
              </w:rPr>
              <w:t>Académica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Pr="008776BB" w:rsidRDefault="005802B4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776BB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14b LGT_Art_70_Fr_XIV</w:t>
            </w:r>
          </w:p>
        </w:tc>
      </w:tr>
      <w:tr w:rsidR="00EA3E19" w:rsidRPr="0091747E" w:rsidTr="003C21E8">
        <w:trPr>
          <w:gridAfter w:val="1"/>
          <w:wAfter w:w="42" w:type="dxa"/>
          <w:trHeight w:val="154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="000724DC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 xml:space="preserve"> 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3A5" w:rsidRDefault="001053A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EA3E19" w:rsidRPr="00DF2BB3" w:rsidRDefault="005F6095" w:rsidP="000724D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166C6D" w:rsidRDefault="00B9185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795270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El formato </w:t>
            </w:r>
            <w:r w:rsidRPr="00795270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15a LGT_Art_70_Fr_XV</w:t>
            </w:r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 xml:space="preserve"> es aplicable a la Secretaría de Desarrollo Social y Humano por la naturaleza de sus facultades y funciones.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4DC" w:rsidRDefault="000724DC" w:rsidP="000724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Coordinación de Promoción al Desarrollo,</w:t>
            </w:r>
          </w:p>
          <w:p w:rsidR="00EA3E19" w:rsidRPr="00DF2BB3" w:rsidRDefault="000724DC" w:rsidP="000724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Servicios Escolares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EA" w:rsidRPr="006A42FD" w:rsidRDefault="000724DC" w:rsidP="000724DC">
            <w:pPr>
              <w:spacing w:after="101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6A42FD">
              <w:rPr>
                <w:rFonts w:ascii="Candara" w:eastAsia="Times New Roman" w:hAnsi="Candara" w:cs="Times New Roman"/>
                <w:sz w:val="18"/>
                <w:lang w:val="en-US" w:eastAsia="es-MX"/>
              </w:rPr>
              <w:t xml:space="preserve">formato </w:t>
            </w:r>
            <w:r w:rsidRPr="006A42F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15b LGT_Art_70_Fr_XV</w:t>
            </w:r>
          </w:p>
        </w:tc>
      </w:tr>
      <w:tr w:rsidR="00EA3E19" w:rsidRPr="0091747E" w:rsidTr="003C21E8">
        <w:trPr>
          <w:gridAfter w:val="1"/>
          <w:wAfter w:w="42" w:type="dxa"/>
          <w:trHeight w:val="184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5F609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  <w:p w:rsidR="00626ABE" w:rsidRDefault="00626ABE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el</w:t>
            </w:r>
            <w:proofErr w:type="gramEnd"/>
            <w:r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 formato 16b </w:t>
            </w:r>
            <w:r w:rsidR="000C3207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no aplica en virtud que </w:t>
            </w:r>
            <w:r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se refiere a recursos entregados a los sindicatos, y nosotros no contamos con Sindicato.</w:t>
            </w:r>
          </w:p>
          <w:p w:rsidR="0039534F" w:rsidRPr="00166C6D" w:rsidRDefault="0039534F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9152D1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776BB" w:rsidRDefault="009152D1" w:rsidP="00A4549E">
            <w:pPr>
              <w:spacing w:after="101"/>
              <w:jc w:val="both"/>
              <w:rPr>
                <w:rFonts w:eastAsia="Times New Roman" w:cs="Times New Roman"/>
                <w:sz w:val="18"/>
                <w:szCs w:val="18"/>
                <w:lang w:val="en-US" w:eastAsia="es-MX"/>
              </w:rPr>
            </w:pPr>
            <w:r w:rsidRPr="008776BB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16a LGT_Art_70_Fr_XVI</w:t>
            </w:r>
          </w:p>
          <w:p w:rsidR="009152D1" w:rsidRPr="008776BB" w:rsidRDefault="009152D1" w:rsidP="00A4549E">
            <w:pPr>
              <w:spacing w:after="101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EA3E19" w:rsidRPr="0091747E" w:rsidTr="003C21E8">
        <w:trPr>
          <w:gridAfter w:val="1"/>
          <w:wAfter w:w="42" w:type="dxa"/>
          <w:trHeight w:val="125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5F609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9152D1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776BB" w:rsidRDefault="009152D1" w:rsidP="00A4549E">
            <w:pPr>
              <w:spacing w:after="101"/>
              <w:jc w:val="both"/>
              <w:rPr>
                <w:rFonts w:ascii="Candara" w:hAnsi="Candara"/>
                <w:sz w:val="18"/>
                <w:szCs w:val="18"/>
                <w:lang w:val="en-US" w:eastAsia="es-MX"/>
              </w:rPr>
            </w:pPr>
            <w:r w:rsidRPr="008776BB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17 LGT_Art_70_Fr_XVII</w:t>
            </w:r>
          </w:p>
        </w:tc>
      </w:tr>
      <w:tr w:rsidR="00EA3E19" w:rsidRPr="00CB644E" w:rsidTr="003C21E8">
        <w:trPr>
          <w:gridAfter w:val="1"/>
          <w:wAfter w:w="42" w:type="dxa"/>
          <w:trHeight w:val="97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disposición.</w:t>
            </w:r>
          </w:p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5F609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CB644E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Oficina del Abogado General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4E" w:rsidRDefault="00CB644E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n-US"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18 LGT_Art_70_Fr_XVII</w:t>
            </w:r>
            <w:r w:rsidR="000C3207">
              <w:rPr>
                <w:rFonts w:eastAsia="Times New Roman" w:cs="Times New Roman"/>
                <w:sz w:val="18"/>
                <w:szCs w:val="18"/>
                <w:lang w:val="en-US" w:eastAsia="es-MX"/>
              </w:rPr>
              <w:t>I</w:t>
            </w:r>
          </w:p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EA3E19" w:rsidRPr="00984D4C" w:rsidTr="003C21E8">
        <w:trPr>
          <w:gridAfter w:val="1"/>
          <w:wAfter w:w="42" w:type="dxa"/>
          <w:trHeight w:val="82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</w:p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5F609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F" w:rsidRPr="00166C6D" w:rsidRDefault="0039534F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E45A94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Coordinación </w:t>
            </w:r>
            <w:r w:rsidR="005C65DD">
              <w:rPr>
                <w:rFonts w:eastAsia="Times New Roman" w:cs="Times New Roman"/>
                <w:sz w:val="18"/>
                <w:szCs w:val="18"/>
                <w:lang w:eastAsia="es-MX"/>
              </w:rPr>
              <w:t>de Promoción al Desarrollo</w:t>
            </w:r>
            <w:r w:rsidR="00262D08">
              <w:rPr>
                <w:rFonts w:eastAsia="Times New Roman" w:cs="Times New Roman"/>
                <w:sz w:val="18"/>
                <w:szCs w:val="18"/>
                <w:lang w:eastAsia="es-MX"/>
              </w:rPr>
              <w:t>, Departamento de Servicios Escolares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F818AF" w:rsidRDefault="00B20910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n-US" w:eastAsia="es-MX"/>
              </w:rPr>
            </w:pPr>
            <w:r w:rsidRPr="0039534F">
              <w:rPr>
                <w:rFonts w:eastAsia="Times New Roman" w:cs="Times New Roman"/>
                <w:sz w:val="18"/>
                <w:szCs w:val="18"/>
                <w:lang w:eastAsia="es-MX"/>
              </w:rPr>
              <w:t>Formato 19 LGT_Art_7</w:t>
            </w:r>
            <w:r w:rsidRPr="00F818AF">
              <w:rPr>
                <w:rFonts w:eastAsia="Times New Roman" w:cs="Times New Roman"/>
                <w:sz w:val="18"/>
                <w:szCs w:val="18"/>
                <w:lang w:val="en-US" w:eastAsia="es-MX"/>
              </w:rPr>
              <w:t>0_Fr_XIX</w:t>
            </w:r>
          </w:p>
          <w:p w:rsidR="00262D08" w:rsidRPr="00262D08" w:rsidRDefault="00262D08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EA3E19" w:rsidRPr="00984D4C" w:rsidTr="003C21E8">
        <w:trPr>
          <w:gridAfter w:val="1"/>
          <w:wAfter w:w="42" w:type="dxa"/>
          <w:trHeight w:val="67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5F609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F" w:rsidRPr="00166C6D" w:rsidRDefault="0039534F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Default="00E45A94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Coordinación de Promoción al Desarrollo</w:t>
            </w:r>
            <w:r w:rsidR="00262D08">
              <w:rPr>
                <w:rFonts w:eastAsia="Times New Roman" w:cs="Times New Roman"/>
                <w:sz w:val="18"/>
                <w:szCs w:val="18"/>
                <w:lang w:eastAsia="es-MX"/>
              </w:rPr>
              <w:t>,</w:t>
            </w:r>
          </w:p>
          <w:p w:rsidR="00262D08" w:rsidRPr="00DF2BB3" w:rsidRDefault="00262D08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Servicios Escolares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F818AF" w:rsidRDefault="00E45A94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n-US" w:eastAsia="es-MX"/>
              </w:rPr>
            </w:pPr>
            <w:r w:rsidRPr="00F818AF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20 LGT_Art_70_Fr_XX</w:t>
            </w:r>
          </w:p>
          <w:p w:rsidR="00262D08" w:rsidRPr="00262D08" w:rsidRDefault="00262D08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EA3E19" w:rsidRPr="0091747E" w:rsidTr="003C21E8">
        <w:trPr>
          <w:gridAfter w:val="1"/>
          <w:wAfter w:w="42" w:type="dxa"/>
          <w:trHeight w:val="14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5F609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DE5DEA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Departamento de Recursos Financieros 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776BB" w:rsidRDefault="00DE5DEA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n-US" w:eastAsia="es-MX"/>
              </w:rPr>
            </w:pPr>
            <w:r w:rsidRPr="008776BB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21a LGT_Art_70_Fr_XXI</w:t>
            </w:r>
          </w:p>
          <w:p w:rsidR="00DE5DEA" w:rsidRPr="008776BB" w:rsidRDefault="00DE5DEA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n-US" w:eastAsia="es-MX"/>
              </w:rPr>
            </w:pPr>
            <w:r w:rsidRPr="008776BB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21b LGT_Art_70_Fr_XXI</w:t>
            </w:r>
          </w:p>
          <w:p w:rsidR="00DE5DEA" w:rsidRPr="00166C6D" w:rsidRDefault="00DE5DEA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776BB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21c LGT_Art_70_Fr_</w:t>
            </w:r>
            <w:r>
              <w:rPr>
                <w:rFonts w:eastAsia="Times New Roman" w:cs="Times New Roman"/>
                <w:sz w:val="18"/>
                <w:szCs w:val="18"/>
                <w:lang w:val="en-US" w:eastAsia="es-MX"/>
              </w:rPr>
              <w:t>XXI</w:t>
            </w:r>
          </w:p>
        </w:tc>
      </w:tr>
      <w:tr w:rsidR="00EA3E19" w:rsidRPr="00166C6D" w:rsidTr="003C21E8">
        <w:trPr>
          <w:gridAfter w:val="1"/>
          <w:wAfter w:w="42" w:type="dxa"/>
          <w:trHeight w:val="92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EA3E19" w:rsidRDefault="005F609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EA3E19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EA3E19" w:rsidRDefault="00EE6885" w:rsidP="00A4549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La información relativa a esta fracción, no corresponde a este sujeto obligado, la Secretaría de Finanzas del Gobierno del Estado es la responsable de proporcionar la información de oficio relativa a la Deuda Pública</w:t>
            </w:r>
            <w:r w:rsidR="00EA3E19" w:rsidRPr="00EA3E19">
              <w:rPr>
                <w:rFonts w:eastAsia="Times New Roman" w:cs="Times New Roman"/>
                <w:sz w:val="18"/>
                <w:szCs w:val="18"/>
                <w:lang w:eastAsia="es-MX"/>
              </w:rPr>
              <w:t>.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Artículo 3 y 5 de la Ley de la deuda Pública </w:t>
            </w:r>
            <w:r w:rsidR="00B7736A">
              <w:rPr>
                <w:rFonts w:eastAsia="Times New Roman" w:cs="Times New Roman"/>
                <w:sz w:val="18"/>
                <w:szCs w:val="18"/>
                <w:lang w:eastAsia="es-MX"/>
              </w:rPr>
              <w:t>del Gobierno del estado de Oaxaca.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FA07C5" w:rsidRDefault="00EA3E19" w:rsidP="00A454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EA3E19" w:rsidRPr="0091747E" w:rsidTr="003C21E8">
        <w:trPr>
          <w:gridAfter w:val="1"/>
          <w:wAfter w:w="42" w:type="dxa"/>
          <w:trHeight w:val="123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5F609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  <w:p w:rsidR="00B7736A" w:rsidRPr="00166C6D" w:rsidRDefault="006D7632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El formato 23c LGT_Art_70_Fr_XXIII  corresponde a la Coordinación de Comunicación Social y Vocería del Gobierno del Estado de conformidad con sus facultades establecidas  en la Ley Orgánica del Poder Ejecutivo; así como al Instituto Estatal Electoral y de Participación Ciudadana del Estado de Oaxaca.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665DAD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Financieros</w:t>
            </w:r>
            <w:r w:rsidR="00242019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,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Pr="0039534F" w:rsidRDefault="00665DAD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n-US" w:eastAsia="es-MX"/>
              </w:rPr>
            </w:pPr>
            <w:r w:rsidRPr="0039534F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23a LGT_Art_70_Fr_XXIII</w:t>
            </w:r>
          </w:p>
          <w:p w:rsidR="00665DAD" w:rsidRPr="009755D6" w:rsidRDefault="00665DAD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n-US" w:eastAsia="es-MX"/>
              </w:rPr>
            </w:pPr>
            <w:r w:rsidRPr="008776BB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23b LGT_</w:t>
            </w:r>
            <w:r w:rsidRPr="009755D6">
              <w:rPr>
                <w:rFonts w:eastAsia="Times New Roman" w:cs="Times New Roman"/>
                <w:sz w:val="18"/>
                <w:szCs w:val="18"/>
                <w:lang w:val="en-US" w:eastAsia="es-MX"/>
              </w:rPr>
              <w:t>Art_70_Fr_XXIII</w:t>
            </w:r>
          </w:p>
          <w:p w:rsidR="00665DAD" w:rsidRPr="00166C6D" w:rsidRDefault="00665DAD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755D6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23</w:t>
            </w:r>
            <w:r w:rsidR="008776BB">
              <w:rPr>
                <w:rFonts w:eastAsia="Times New Roman" w:cs="Times New Roman"/>
                <w:sz w:val="18"/>
                <w:szCs w:val="18"/>
                <w:lang w:val="en-US" w:eastAsia="es-MX"/>
              </w:rPr>
              <w:t>d</w:t>
            </w:r>
            <w:r w:rsidRPr="009755D6">
              <w:rPr>
                <w:rFonts w:eastAsia="Times New Roman" w:cs="Times New Roman"/>
                <w:sz w:val="18"/>
                <w:szCs w:val="18"/>
                <w:lang w:val="en-US" w:eastAsia="es-MX"/>
              </w:rPr>
              <w:t xml:space="preserve"> LGT_Art_70_Fr_</w:t>
            </w:r>
            <w:r>
              <w:rPr>
                <w:rFonts w:eastAsia="Times New Roman" w:cs="Times New Roman"/>
                <w:sz w:val="18"/>
                <w:szCs w:val="18"/>
                <w:lang w:val="en-US" w:eastAsia="es-MX"/>
              </w:rPr>
              <w:t>XXIII</w:t>
            </w:r>
          </w:p>
        </w:tc>
      </w:tr>
      <w:tr w:rsidR="00EA3E19" w:rsidRPr="0091747E" w:rsidTr="003C21E8">
        <w:trPr>
          <w:gridAfter w:val="1"/>
          <w:wAfter w:w="42" w:type="dxa"/>
          <w:trHeight w:val="123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5F609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F" w:rsidRPr="00166C6D" w:rsidRDefault="0039534F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B7736A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Auditoría Interna</w:t>
            </w:r>
            <w:r w:rsidR="009152D1">
              <w:rPr>
                <w:rFonts w:eastAsia="Times New Roman" w:cs="Times New Roman"/>
                <w:sz w:val="18"/>
                <w:szCs w:val="18"/>
                <w:lang w:eastAsia="es-MX"/>
              </w:rPr>
              <w:t>, Departamento de Recursos Humanos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D1" w:rsidRPr="009152D1" w:rsidRDefault="009152D1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39534F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24 LGT_Art_70_Fr</w:t>
            </w:r>
            <w:r w:rsidRPr="009152D1">
              <w:rPr>
                <w:rFonts w:eastAsia="Times New Roman" w:cs="Times New Roman"/>
                <w:sz w:val="18"/>
                <w:szCs w:val="18"/>
                <w:lang w:val="en-US" w:eastAsia="es-MX"/>
              </w:rPr>
              <w:t>_XXIV</w:t>
            </w:r>
          </w:p>
        </w:tc>
      </w:tr>
      <w:tr w:rsidR="00EA3E19" w:rsidRPr="00B7736A" w:rsidTr="003C21E8">
        <w:trPr>
          <w:gridAfter w:val="1"/>
          <w:wAfter w:w="42" w:type="dxa"/>
          <w:trHeight w:val="71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66C6D">
              <w:rPr>
                <w:rFonts w:ascii="Candara" w:eastAsia="Times New Roman" w:hAnsi="Candara" w:cs="Times New Roman"/>
                <w:b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444FF4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166C6D" w:rsidRDefault="00B7736A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La Universidad del Mar no dictamina sus estados financieros en virtud de que no se encuentra en los supuestos que establece el Código Fiscal de la Federación.</w:t>
            </w:r>
            <w:r w:rsidR="00984D4C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 </w:t>
            </w:r>
            <w:r w:rsidR="00984D4C">
              <w:rPr>
                <w:rFonts w:eastAsia="Times New Roman" w:cs="Times New Roman"/>
                <w:sz w:val="18"/>
                <w:szCs w:val="18"/>
                <w:lang w:eastAsia="es-MX"/>
              </w:rPr>
              <w:t>Artículo 32 A del Código Fiscal de la Federación.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EA3E19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B7736A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EA3E19" w:rsidRPr="00242019" w:rsidTr="003C21E8">
        <w:trPr>
          <w:gridAfter w:val="1"/>
          <w:wAfter w:w="42" w:type="dxa"/>
          <w:trHeight w:val="101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EA3E19" w:rsidRDefault="0006354A" w:rsidP="0058425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No</w:t>
            </w:r>
            <w:r w:rsidR="0058425F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 </w:t>
            </w:r>
            <w:r w:rsidR="005F6095" w:rsidRPr="00EA3E1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166C6D" w:rsidRDefault="0006354A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06354A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Derivado del </w:t>
            </w:r>
            <w:r w:rsidR="008776BB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</w:t>
            </w:r>
            <w:r w:rsidRPr="0006354A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ecreto de </w:t>
            </w:r>
            <w:r w:rsidR="008776BB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C</w:t>
            </w:r>
            <w:r w:rsidRPr="0006354A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reación, esta </w:t>
            </w:r>
            <w:r w:rsidR="008776BB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I</w:t>
            </w:r>
            <w:r w:rsidRPr="0006354A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nstitución </w:t>
            </w:r>
            <w:r w:rsidR="008776BB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E</w:t>
            </w:r>
            <w:r w:rsidRPr="0006354A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ducativa tiende a la formación académica, científica, cultural y el desarrollo de la sociedad, y no tiene autorizada la asignación de recursos públicos a personas físicas o morales.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0484" w:rsidRPr="00FA07C5" w:rsidRDefault="00CF0484" w:rsidP="00A4549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84" w:rsidRPr="006A7BCE" w:rsidRDefault="00CF0484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EA3E19" w:rsidRPr="0091747E" w:rsidTr="003C21E8">
        <w:trPr>
          <w:gridAfter w:val="1"/>
          <w:wAfter w:w="42" w:type="dxa"/>
          <w:trHeight w:val="185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5F609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F" w:rsidRPr="00166C6D" w:rsidRDefault="0039534F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5802B4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Vice-Rectoría de administración</w:t>
            </w:r>
            <w:r w:rsidR="00BF14A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y Vice-Rectoría Académica, </w:t>
            </w:r>
            <w:r w:rsidR="0006354A">
              <w:rPr>
                <w:rFonts w:eastAsia="Times New Roman" w:cs="Times New Roman"/>
                <w:sz w:val="18"/>
                <w:szCs w:val="18"/>
                <w:lang w:eastAsia="es-MX"/>
              </w:rPr>
              <w:t>D</w:t>
            </w:r>
            <w:r w:rsidR="00BF14A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epartamento de </w:t>
            </w:r>
            <w:r w:rsidR="0006354A">
              <w:rPr>
                <w:rFonts w:eastAsia="Times New Roman" w:cs="Times New Roman"/>
                <w:sz w:val="18"/>
                <w:szCs w:val="18"/>
                <w:lang w:eastAsia="es-MX"/>
              </w:rPr>
              <w:t>R</w:t>
            </w:r>
            <w:r w:rsidR="00BF14A7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ecursos </w:t>
            </w:r>
            <w:r w:rsidR="0006354A">
              <w:rPr>
                <w:rFonts w:eastAsia="Times New Roman" w:cs="Times New Roman"/>
                <w:sz w:val="18"/>
                <w:szCs w:val="18"/>
                <w:lang w:eastAsia="es-MX"/>
              </w:rPr>
              <w:t>M</w:t>
            </w:r>
            <w:r w:rsidR="00BF14A7">
              <w:rPr>
                <w:rFonts w:eastAsia="Times New Roman" w:cs="Times New Roman"/>
                <w:sz w:val="18"/>
                <w:szCs w:val="18"/>
                <w:lang w:eastAsia="es-MX"/>
              </w:rPr>
              <w:t>ateriales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776BB" w:rsidRDefault="005802B4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776BB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val="en-US" w:eastAsia="es-MX"/>
              </w:rPr>
              <w:t>Formato 27 LGT_Art_70_Fr_XXVII</w:t>
            </w:r>
          </w:p>
        </w:tc>
      </w:tr>
      <w:tr w:rsidR="00EA3E19" w:rsidRPr="0091747E" w:rsidTr="003C21E8">
        <w:trPr>
          <w:gridAfter w:val="1"/>
          <w:wAfter w:w="42" w:type="dxa"/>
          <w:trHeight w:val="163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3C21E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5F609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F" w:rsidRPr="00166C6D" w:rsidRDefault="0039534F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Default="00CF0484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Proyecto</w:t>
            </w:r>
            <w:r w:rsidR="00F818AF">
              <w:rPr>
                <w:rFonts w:eastAsia="Times New Roman" w:cs="Times New Roman"/>
                <w:sz w:val="18"/>
                <w:szCs w:val="18"/>
                <w:lang w:eastAsia="es-MX"/>
              </w:rPr>
              <w:t>s, Construcción y Mantenimiento,</w:t>
            </w:r>
          </w:p>
          <w:p w:rsidR="00F818AF" w:rsidRPr="00DF2BB3" w:rsidRDefault="00F818AF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Materiales.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Default="00CF0484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n-US" w:eastAsia="es-MX"/>
              </w:rPr>
            </w:pPr>
            <w:r w:rsidRPr="008776BB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28a LGT_Art_70_Fr_XXVII</w:t>
            </w:r>
            <w:r w:rsidRPr="00CF0484">
              <w:rPr>
                <w:rFonts w:eastAsia="Times New Roman" w:cs="Times New Roman"/>
                <w:sz w:val="18"/>
                <w:szCs w:val="18"/>
                <w:lang w:val="en-US" w:eastAsia="es-MX"/>
              </w:rPr>
              <w:t>I</w:t>
            </w:r>
          </w:p>
          <w:p w:rsidR="00F53E0C" w:rsidRPr="00CF0484" w:rsidRDefault="00F53E0C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28b</w:t>
            </w:r>
            <w:r w:rsidRPr="00CF0484">
              <w:rPr>
                <w:rFonts w:eastAsia="Times New Roman" w:cs="Times New Roman"/>
                <w:sz w:val="18"/>
                <w:szCs w:val="18"/>
                <w:lang w:val="en-US" w:eastAsia="es-MX"/>
              </w:rPr>
              <w:t xml:space="preserve"> LGT_Art_70_Fr_XXVIII</w:t>
            </w:r>
          </w:p>
        </w:tc>
      </w:tr>
      <w:tr w:rsidR="00EA3E19" w:rsidRPr="0091747E" w:rsidTr="003C21E8">
        <w:trPr>
          <w:gridAfter w:val="1"/>
          <w:wAfter w:w="42" w:type="dxa"/>
          <w:trHeight w:val="69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5F609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F" w:rsidRPr="00166C6D" w:rsidRDefault="0039534F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5881" w:rsidRPr="00DF2BB3" w:rsidRDefault="00020E33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</w:t>
            </w:r>
            <w:r w:rsidR="0039534F">
              <w:rPr>
                <w:rFonts w:eastAsia="Times New Roman" w:cs="Times New Roman"/>
                <w:sz w:val="18"/>
                <w:szCs w:val="18"/>
                <w:lang w:eastAsia="es-MX"/>
              </w:rPr>
              <w:t>ice-Rectoría de Administración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, Departamento de planeación y Estadística,</w:t>
            </w:r>
            <w:r w:rsidR="0006354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Departamento de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Servicios Escolares</w:t>
            </w:r>
            <w:r w:rsidR="0006354A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y Coordinación de Promoción al Desarrollo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AD" w:rsidRPr="00CF0484" w:rsidRDefault="00665DAD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29 LGT_Art_70_Fr_XXIX</w:t>
            </w:r>
          </w:p>
        </w:tc>
      </w:tr>
      <w:tr w:rsidR="00EA3E19" w:rsidRPr="00242019" w:rsidTr="003C21E8">
        <w:trPr>
          <w:gridAfter w:val="1"/>
          <w:wAfter w:w="42" w:type="dxa"/>
          <w:trHeight w:val="57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5F609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F" w:rsidRPr="00166C6D" w:rsidRDefault="0039534F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Default="00E45A94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Coordinación de Promoción al Desarrollo</w:t>
            </w:r>
            <w:r w:rsidR="00645881">
              <w:rPr>
                <w:rFonts w:eastAsia="Times New Roman" w:cs="Times New Roman"/>
                <w:sz w:val="18"/>
                <w:szCs w:val="18"/>
                <w:lang w:eastAsia="es-MX"/>
              </w:rPr>
              <w:t>,</w:t>
            </w:r>
          </w:p>
          <w:p w:rsidR="00645881" w:rsidRDefault="00645881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Vice-Rectoría Académica</w:t>
            </w:r>
            <w:r w:rsidR="00262D08">
              <w:rPr>
                <w:rFonts w:eastAsia="Times New Roman" w:cs="Times New Roman"/>
                <w:sz w:val="18"/>
                <w:szCs w:val="18"/>
                <w:lang w:eastAsia="es-MX"/>
              </w:rPr>
              <w:t>,</w:t>
            </w:r>
          </w:p>
          <w:p w:rsidR="00262D08" w:rsidRDefault="00262D08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Servicios Escolares</w:t>
            </w:r>
            <w:r w:rsidR="00CF0484">
              <w:rPr>
                <w:rFonts w:eastAsia="Times New Roman" w:cs="Times New Roman"/>
                <w:sz w:val="18"/>
                <w:szCs w:val="18"/>
                <w:lang w:eastAsia="es-MX"/>
              </w:rPr>
              <w:t>,</w:t>
            </w:r>
          </w:p>
          <w:p w:rsidR="00CF0484" w:rsidRDefault="00CF0484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Proyecto</w:t>
            </w:r>
            <w:r w:rsidR="00665DAD">
              <w:rPr>
                <w:rFonts w:eastAsia="Times New Roman" w:cs="Times New Roman"/>
                <w:sz w:val="18"/>
                <w:szCs w:val="18"/>
                <w:lang w:eastAsia="es-MX"/>
              </w:rPr>
              <w:t>s, Construcción y Mantenimiento,</w:t>
            </w:r>
          </w:p>
          <w:p w:rsidR="00665DAD" w:rsidRPr="00DF2BB3" w:rsidRDefault="00665DAD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Financieros</w:t>
            </w:r>
            <w:r w:rsidR="00242019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.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242019" w:rsidRDefault="00E45A94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42019">
              <w:rPr>
                <w:rFonts w:eastAsia="Times New Roman" w:cs="Times New Roman"/>
                <w:sz w:val="18"/>
                <w:szCs w:val="18"/>
                <w:lang w:eastAsia="es-MX"/>
              </w:rPr>
              <w:t>Formato 30 LGT_Art_70_Fr_XXX</w:t>
            </w:r>
          </w:p>
          <w:p w:rsidR="00665DAD" w:rsidRPr="00CF0484" w:rsidRDefault="00665DAD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EA3E19" w:rsidRPr="0091747E" w:rsidTr="003C21E8">
        <w:trPr>
          <w:gridAfter w:val="1"/>
          <w:wAfter w:w="42" w:type="dxa"/>
          <w:trHeight w:val="69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5F609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665DAD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Departamento de Recursos Financieros 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Default="00665DAD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n-US" w:eastAsia="es-MX"/>
              </w:rPr>
            </w:pPr>
            <w:r w:rsidRPr="0006354A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31</w:t>
            </w:r>
            <w:r w:rsidR="0006354A" w:rsidRPr="0006354A">
              <w:rPr>
                <w:rFonts w:eastAsia="Times New Roman" w:cs="Times New Roman"/>
                <w:sz w:val="18"/>
                <w:szCs w:val="18"/>
                <w:lang w:val="en-US" w:eastAsia="es-MX"/>
              </w:rPr>
              <w:t>a</w:t>
            </w:r>
            <w:r w:rsidRPr="0006354A">
              <w:rPr>
                <w:rFonts w:eastAsia="Times New Roman" w:cs="Times New Roman"/>
                <w:sz w:val="18"/>
                <w:szCs w:val="18"/>
                <w:lang w:val="en-US" w:eastAsia="es-MX"/>
              </w:rPr>
              <w:t xml:space="preserve"> LGT_Art_70_Fr_XXXI</w:t>
            </w:r>
          </w:p>
          <w:p w:rsidR="0006354A" w:rsidRPr="0006354A" w:rsidRDefault="0006354A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06354A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31</w:t>
            </w:r>
            <w:r>
              <w:rPr>
                <w:rFonts w:eastAsia="Times New Roman" w:cs="Times New Roman"/>
                <w:sz w:val="18"/>
                <w:szCs w:val="18"/>
                <w:lang w:val="en-US" w:eastAsia="es-MX"/>
              </w:rPr>
              <w:t>b</w:t>
            </w:r>
            <w:r w:rsidRPr="0006354A">
              <w:rPr>
                <w:rFonts w:eastAsia="Times New Roman" w:cs="Times New Roman"/>
                <w:sz w:val="18"/>
                <w:szCs w:val="18"/>
                <w:lang w:val="en-US" w:eastAsia="es-MX"/>
              </w:rPr>
              <w:t xml:space="preserve"> LGT_Art_70_Fr_XXXI</w:t>
            </w:r>
          </w:p>
        </w:tc>
      </w:tr>
      <w:tr w:rsidR="00EA3E19" w:rsidRPr="0091747E" w:rsidTr="003C21E8">
        <w:trPr>
          <w:gridAfter w:val="1"/>
          <w:wAfter w:w="42" w:type="dxa"/>
          <w:trHeight w:val="55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5F609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F" w:rsidRPr="00166C6D" w:rsidRDefault="0039534F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A84739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Departamento de Proyectos, Construcción y Mantenimiento, </w:t>
            </w:r>
            <w:r w:rsidR="00B7736A">
              <w:rPr>
                <w:rFonts w:eastAsia="Times New Roman" w:cs="Times New Roman"/>
                <w:sz w:val="18"/>
                <w:szCs w:val="18"/>
                <w:lang w:eastAsia="es-MX"/>
              </w:rPr>
              <w:t>Depa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rtamento de Recursos Materiales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776BB" w:rsidRDefault="00A8473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84739">
              <w:rPr>
                <w:rFonts w:ascii="Candara" w:hAnsi="Candara"/>
                <w:color w:val="666666"/>
                <w:sz w:val="36"/>
                <w:szCs w:val="36"/>
                <w:shd w:val="clear" w:color="auto" w:fill="FFFFFF"/>
              </w:rPr>
              <w:t> </w:t>
            </w:r>
            <w:r w:rsidRPr="008776BB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32 LGT_Art_70_Fr_XXXII</w:t>
            </w:r>
          </w:p>
        </w:tc>
      </w:tr>
      <w:tr w:rsidR="00EA3E19" w:rsidRPr="0091747E" w:rsidTr="003C21E8">
        <w:trPr>
          <w:gridAfter w:val="1"/>
          <w:wAfter w:w="42" w:type="dxa"/>
          <w:trHeight w:val="71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5F609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5802B4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Vice-Rectoría de administración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776BB" w:rsidRDefault="005802B4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776BB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33 LGT_Art_70_Fr_XXXIII</w:t>
            </w:r>
          </w:p>
        </w:tc>
      </w:tr>
      <w:tr w:rsidR="00EA3E19" w:rsidRPr="0091747E" w:rsidTr="003C21E8">
        <w:trPr>
          <w:gridAfter w:val="1"/>
          <w:wAfter w:w="42" w:type="dxa"/>
          <w:trHeight w:val="63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C94CA3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C94CA3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5F609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F" w:rsidRPr="00166C6D" w:rsidRDefault="0039534F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A84739" w:rsidRDefault="00CF0484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Logística</w:t>
            </w:r>
            <w:r w:rsidR="00A84739">
              <w:rPr>
                <w:rFonts w:eastAsia="Times New Roman" w:cs="Times New Roman"/>
                <w:sz w:val="18"/>
                <w:szCs w:val="18"/>
                <w:lang w:eastAsia="es-MX"/>
              </w:rPr>
              <w:t>, Departamento de Proyecto</w:t>
            </w:r>
            <w:r w:rsidR="007C3DDF">
              <w:rPr>
                <w:rFonts w:eastAsia="Times New Roman" w:cs="Times New Roman"/>
                <w:sz w:val="18"/>
                <w:szCs w:val="18"/>
                <w:lang w:eastAsia="es-MX"/>
              </w:rPr>
              <w:t>s, Construcción y Mantenimiento,</w:t>
            </w:r>
            <w:r w:rsidR="0039534F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  <w:r w:rsidR="0003667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Departamento de </w:t>
            </w:r>
            <w:r w:rsidR="0039534F">
              <w:rPr>
                <w:rFonts w:eastAsia="Times New Roman" w:cs="Times New Roman"/>
                <w:sz w:val="18"/>
                <w:szCs w:val="18"/>
                <w:lang w:eastAsia="es-MX"/>
              </w:rPr>
              <w:t>Gestión</w:t>
            </w:r>
            <w:r w:rsidR="0003667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  <w:r w:rsidR="0039534F">
              <w:rPr>
                <w:rFonts w:eastAsia="Times New Roman" w:cs="Times New Roman"/>
                <w:sz w:val="18"/>
                <w:szCs w:val="18"/>
                <w:lang w:eastAsia="es-MX"/>
              </w:rPr>
              <w:t>Administrativa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08" w:rsidRPr="00262D08" w:rsidRDefault="00262D08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n-US" w:eastAsia="es-MX"/>
              </w:rPr>
            </w:pPr>
            <w:r w:rsidRPr="00262D08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</w:t>
            </w:r>
            <w:r>
              <w:rPr>
                <w:rFonts w:eastAsia="Times New Roman" w:cs="Times New Roman"/>
                <w:sz w:val="18"/>
                <w:szCs w:val="18"/>
                <w:lang w:val="en-US" w:eastAsia="es-MX"/>
              </w:rPr>
              <w:t xml:space="preserve"> 34a LGT_Art_70_Fr_XXXI</w:t>
            </w:r>
            <w:r w:rsidRPr="00262D08">
              <w:rPr>
                <w:rFonts w:eastAsia="Times New Roman" w:cs="Times New Roman"/>
                <w:sz w:val="18"/>
                <w:szCs w:val="18"/>
                <w:lang w:val="en-US" w:eastAsia="es-MX"/>
              </w:rPr>
              <w:t>V</w:t>
            </w:r>
          </w:p>
          <w:p w:rsidR="00262D08" w:rsidRPr="00262D08" w:rsidRDefault="00262D08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n-US" w:eastAsia="es-MX"/>
              </w:rPr>
            </w:pPr>
            <w:r w:rsidRPr="00262D08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34b LGT_Art_70_Fr_XXX</w:t>
            </w:r>
            <w:r>
              <w:rPr>
                <w:rFonts w:eastAsia="Times New Roman" w:cs="Times New Roman"/>
                <w:sz w:val="18"/>
                <w:szCs w:val="18"/>
                <w:lang w:val="en-US" w:eastAsia="es-MX"/>
              </w:rPr>
              <w:t>I</w:t>
            </w:r>
            <w:r w:rsidRPr="00262D08">
              <w:rPr>
                <w:rFonts w:eastAsia="Times New Roman" w:cs="Times New Roman"/>
                <w:sz w:val="18"/>
                <w:szCs w:val="18"/>
                <w:lang w:val="en-US" w:eastAsia="es-MX"/>
              </w:rPr>
              <w:t>V</w:t>
            </w:r>
          </w:p>
          <w:p w:rsidR="00262D08" w:rsidRDefault="00262D08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n-US" w:eastAsia="es-MX"/>
              </w:rPr>
            </w:pPr>
            <w:r w:rsidRPr="00262D08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34c LGT_Art_70_Fr_XXX</w:t>
            </w:r>
            <w:r>
              <w:rPr>
                <w:rFonts w:eastAsia="Times New Roman" w:cs="Times New Roman"/>
                <w:sz w:val="18"/>
                <w:szCs w:val="18"/>
                <w:lang w:val="en-US" w:eastAsia="es-MX"/>
              </w:rPr>
              <w:t>I</w:t>
            </w:r>
            <w:r w:rsidRPr="00262D08">
              <w:rPr>
                <w:rFonts w:eastAsia="Times New Roman" w:cs="Times New Roman"/>
                <w:sz w:val="18"/>
                <w:szCs w:val="18"/>
                <w:lang w:val="en-US" w:eastAsia="es-MX"/>
              </w:rPr>
              <w:t>V</w:t>
            </w:r>
          </w:p>
          <w:p w:rsidR="00A84739" w:rsidRDefault="00A84739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n-US" w:eastAsia="es-MX"/>
              </w:rPr>
            </w:pPr>
            <w:r w:rsidRPr="00A84739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34</w:t>
            </w:r>
            <w:r w:rsidR="0003667C">
              <w:rPr>
                <w:rFonts w:eastAsia="Times New Roman" w:cs="Times New Roman"/>
                <w:sz w:val="18"/>
                <w:szCs w:val="18"/>
                <w:lang w:val="en-US" w:eastAsia="es-MX"/>
              </w:rPr>
              <w:t>d</w:t>
            </w:r>
            <w:r w:rsidRPr="00A84739">
              <w:rPr>
                <w:rFonts w:eastAsia="Times New Roman" w:cs="Times New Roman"/>
                <w:sz w:val="18"/>
                <w:szCs w:val="18"/>
                <w:lang w:val="en-US" w:eastAsia="es-MX"/>
              </w:rPr>
              <w:t xml:space="preserve"> LGT_Art_70_Fr_XXXIV</w:t>
            </w:r>
          </w:p>
          <w:p w:rsidR="00B8455F" w:rsidRPr="00A84739" w:rsidRDefault="00B8455F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n-US" w:eastAsia="es-MX"/>
              </w:rPr>
            </w:pPr>
            <w:r w:rsidRPr="00A84739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34</w:t>
            </w:r>
            <w:r>
              <w:rPr>
                <w:rFonts w:eastAsia="Times New Roman" w:cs="Times New Roman"/>
                <w:sz w:val="18"/>
                <w:szCs w:val="18"/>
                <w:lang w:val="en-US" w:eastAsia="es-MX"/>
              </w:rPr>
              <w:t>e</w:t>
            </w:r>
            <w:r w:rsidRPr="00A84739">
              <w:rPr>
                <w:rFonts w:eastAsia="Times New Roman" w:cs="Times New Roman"/>
                <w:sz w:val="18"/>
                <w:szCs w:val="18"/>
                <w:lang w:val="en-US" w:eastAsia="es-MX"/>
              </w:rPr>
              <w:t xml:space="preserve"> LGT_Art_70_Fr_XXXIV</w:t>
            </w:r>
          </w:p>
          <w:p w:rsidR="00B8455F" w:rsidRPr="00A84739" w:rsidRDefault="00B8455F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n-US" w:eastAsia="es-MX"/>
              </w:rPr>
            </w:pPr>
            <w:r w:rsidRPr="00A84739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34</w:t>
            </w:r>
            <w:r>
              <w:rPr>
                <w:rFonts w:eastAsia="Times New Roman" w:cs="Times New Roman"/>
                <w:sz w:val="18"/>
                <w:szCs w:val="18"/>
                <w:lang w:val="en-US" w:eastAsia="es-MX"/>
              </w:rPr>
              <w:t>f</w:t>
            </w:r>
            <w:r w:rsidRPr="00A84739">
              <w:rPr>
                <w:rFonts w:eastAsia="Times New Roman" w:cs="Times New Roman"/>
                <w:sz w:val="18"/>
                <w:szCs w:val="18"/>
                <w:lang w:val="en-US" w:eastAsia="es-MX"/>
              </w:rPr>
              <w:t xml:space="preserve"> LGT_Art_70_Fr_XXXIV</w:t>
            </w:r>
          </w:p>
          <w:p w:rsidR="00B8455F" w:rsidRPr="00A84739" w:rsidRDefault="00B8455F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n-US" w:eastAsia="es-MX"/>
              </w:rPr>
            </w:pPr>
            <w:r w:rsidRPr="00A84739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34</w:t>
            </w:r>
            <w:r>
              <w:rPr>
                <w:rFonts w:eastAsia="Times New Roman" w:cs="Times New Roman"/>
                <w:sz w:val="18"/>
                <w:szCs w:val="18"/>
                <w:lang w:val="en-US" w:eastAsia="es-MX"/>
              </w:rPr>
              <w:t>g</w:t>
            </w:r>
            <w:r w:rsidRPr="00A84739">
              <w:rPr>
                <w:rFonts w:eastAsia="Times New Roman" w:cs="Times New Roman"/>
                <w:sz w:val="18"/>
                <w:szCs w:val="18"/>
                <w:lang w:val="en-US" w:eastAsia="es-MX"/>
              </w:rPr>
              <w:t xml:space="preserve"> LGT_Art_70_Fr_XXXIV</w:t>
            </w:r>
          </w:p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EA3E19" w:rsidRPr="0091747E" w:rsidTr="003C21E8">
        <w:trPr>
          <w:gridAfter w:val="1"/>
          <w:wAfter w:w="42" w:type="dxa"/>
          <w:trHeight w:val="13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5F609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166C6D" w:rsidRDefault="006D7632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828C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El llenado del Formato 35c LGT_Art_70_Fr_XXXV corresponde a la Coordinación para la Atención de los Derechos Humanos del Poder Ejecutivo.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822897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Oficina del Abogado General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Default="008764BC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n-US" w:eastAsia="es-MX"/>
              </w:rPr>
            </w:pPr>
            <w:r w:rsidRPr="00F818AF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3</w:t>
            </w:r>
            <w:r>
              <w:rPr>
                <w:rFonts w:eastAsia="Times New Roman" w:cs="Times New Roman"/>
                <w:sz w:val="18"/>
                <w:szCs w:val="18"/>
                <w:lang w:val="en-US" w:eastAsia="es-MX"/>
              </w:rPr>
              <w:t>5a</w:t>
            </w:r>
            <w:r w:rsidRPr="00F818AF">
              <w:rPr>
                <w:rFonts w:eastAsia="Times New Roman" w:cs="Times New Roman"/>
                <w:sz w:val="18"/>
                <w:szCs w:val="18"/>
                <w:lang w:val="en-US" w:eastAsia="es-MX"/>
              </w:rPr>
              <w:t xml:space="preserve"> LGT_Art_70_Fr_XXXV</w:t>
            </w:r>
          </w:p>
          <w:p w:rsidR="008764BC" w:rsidRDefault="008764BC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n-US" w:eastAsia="es-MX"/>
              </w:rPr>
            </w:pPr>
            <w:r w:rsidRPr="00F818AF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3</w:t>
            </w:r>
            <w:r>
              <w:rPr>
                <w:rFonts w:eastAsia="Times New Roman" w:cs="Times New Roman"/>
                <w:sz w:val="18"/>
                <w:szCs w:val="18"/>
                <w:lang w:val="en-US" w:eastAsia="es-MX"/>
              </w:rPr>
              <w:t>5b</w:t>
            </w:r>
            <w:r w:rsidRPr="00F818AF">
              <w:rPr>
                <w:rFonts w:eastAsia="Times New Roman" w:cs="Times New Roman"/>
                <w:sz w:val="18"/>
                <w:szCs w:val="18"/>
                <w:lang w:val="en-US" w:eastAsia="es-MX"/>
              </w:rPr>
              <w:t xml:space="preserve"> LGT_Art_70_Fr_XXXV</w:t>
            </w:r>
          </w:p>
          <w:p w:rsidR="008764BC" w:rsidRPr="00166C6D" w:rsidRDefault="008764BC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EA3E19" w:rsidRPr="0091747E" w:rsidTr="003C21E8">
        <w:trPr>
          <w:gridAfter w:val="1"/>
          <w:wAfter w:w="42" w:type="dxa"/>
          <w:trHeight w:val="32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5F609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8764BC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Oficina del Abogado General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444FF4" w:rsidRDefault="008764BC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F818AF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3</w:t>
            </w:r>
            <w:r>
              <w:rPr>
                <w:rFonts w:eastAsia="Times New Roman" w:cs="Times New Roman"/>
                <w:sz w:val="18"/>
                <w:szCs w:val="18"/>
                <w:lang w:val="en-US" w:eastAsia="es-MX"/>
              </w:rPr>
              <w:t>6</w:t>
            </w:r>
            <w:r w:rsidRPr="00F818AF">
              <w:rPr>
                <w:rFonts w:eastAsia="Times New Roman" w:cs="Times New Roman"/>
                <w:sz w:val="18"/>
                <w:szCs w:val="18"/>
                <w:lang w:val="en-US" w:eastAsia="es-MX"/>
              </w:rPr>
              <w:t xml:space="preserve"> LGT_Art_70_Fr_XXXV</w:t>
            </w:r>
            <w:r>
              <w:rPr>
                <w:rFonts w:eastAsia="Times New Roman" w:cs="Times New Roman"/>
                <w:sz w:val="18"/>
                <w:szCs w:val="18"/>
                <w:lang w:val="en-US" w:eastAsia="es-MX"/>
              </w:rPr>
              <w:t>I</w:t>
            </w:r>
          </w:p>
        </w:tc>
      </w:tr>
      <w:tr w:rsidR="00E22F91" w:rsidRPr="0091747E" w:rsidTr="003C21E8">
        <w:trPr>
          <w:gridAfter w:val="1"/>
          <w:wAfter w:w="42" w:type="dxa"/>
          <w:trHeight w:val="133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91" w:rsidRPr="00166C6D" w:rsidRDefault="00E22F91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91" w:rsidRPr="00166C6D" w:rsidRDefault="00E22F91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2F91" w:rsidRPr="00DF2BB3" w:rsidRDefault="00E22F91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F" w:rsidRPr="00166C6D" w:rsidRDefault="00634BAF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739" w:rsidRDefault="00A84739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Proyecto</w:t>
            </w:r>
            <w:r w:rsidR="00665DAD">
              <w:rPr>
                <w:rFonts w:eastAsia="Times New Roman" w:cs="Times New Roman"/>
                <w:sz w:val="18"/>
                <w:szCs w:val="18"/>
                <w:lang w:eastAsia="es-MX"/>
              </w:rPr>
              <w:t>s, Construcción y Mantenimiento,</w:t>
            </w:r>
          </w:p>
          <w:p w:rsidR="00665DAD" w:rsidRPr="00DF2BB3" w:rsidRDefault="00665DAD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Departamento de Recursos </w:t>
            </w:r>
            <w:r w:rsidR="00B2732B">
              <w:rPr>
                <w:rFonts w:eastAsia="Times New Roman" w:cs="Times New Roman"/>
                <w:sz w:val="18"/>
                <w:szCs w:val="18"/>
                <w:lang w:eastAsia="es-MX"/>
              </w:rPr>
              <w:t>Materiales</w:t>
            </w:r>
            <w:r w:rsidR="00402B7E">
              <w:rPr>
                <w:rFonts w:eastAsia="Times New Roman" w:cs="Times New Roman"/>
                <w:sz w:val="18"/>
                <w:szCs w:val="18"/>
                <w:lang w:eastAsia="es-MX"/>
              </w:rPr>
              <w:t>.</w:t>
            </w:r>
            <w:r w:rsidR="007C3DDF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DF" w:rsidRDefault="007C3DDF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n-US" w:eastAsia="es-MX"/>
              </w:rPr>
            </w:pPr>
          </w:p>
          <w:p w:rsidR="00E22F91" w:rsidRDefault="00E45A94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n-US" w:eastAsia="es-MX"/>
              </w:rPr>
            </w:pPr>
            <w:r w:rsidRPr="00F818AF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37</w:t>
            </w:r>
            <w:r w:rsidR="00BC2BA0">
              <w:rPr>
                <w:rFonts w:eastAsia="Times New Roman" w:cs="Times New Roman"/>
                <w:sz w:val="18"/>
                <w:szCs w:val="18"/>
                <w:lang w:val="en-US" w:eastAsia="es-MX"/>
              </w:rPr>
              <w:t>a</w:t>
            </w:r>
            <w:r w:rsidRPr="00F818AF">
              <w:rPr>
                <w:rFonts w:eastAsia="Times New Roman" w:cs="Times New Roman"/>
                <w:sz w:val="18"/>
                <w:szCs w:val="18"/>
                <w:lang w:val="en-US" w:eastAsia="es-MX"/>
              </w:rPr>
              <w:t xml:space="preserve"> LGT_Art_70_Fr_XXXVII</w:t>
            </w:r>
          </w:p>
          <w:p w:rsidR="00BC2BA0" w:rsidRPr="00F818AF" w:rsidRDefault="00BC2BA0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n-US" w:eastAsia="es-MX"/>
              </w:rPr>
            </w:pPr>
            <w:r w:rsidRPr="00F818AF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37</w:t>
            </w:r>
            <w:r>
              <w:rPr>
                <w:rFonts w:eastAsia="Times New Roman" w:cs="Times New Roman"/>
                <w:sz w:val="18"/>
                <w:szCs w:val="18"/>
                <w:lang w:val="en-US" w:eastAsia="es-MX"/>
              </w:rPr>
              <w:t>b</w:t>
            </w:r>
            <w:r w:rsidRPr="00F818AF">
              <w:rPr>
                <w:rFonts w:eastAsia="Times New Roman" w:cs="Times New Roman"/>
                <w:sz w:val="18"/>
                <w:szCs w:val="18"/>
                <w:lang w:val="en-US" w:eastAsia="es-MX"/>
              </w:rPr>
              <w:t xml:space="preserve"> LGT_Art_70_Fr_XXXVII</w:t>
            </w:r>
          </w:p>
          <w:p w:rsidR="007C3DDF" w:rsidRPr="00A84739" w:rsidRDefault="00A8473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84739">
              <w:rPr>
                <w:rFonts w:ascii="Candara" w:hAnsi="Candara"/>
                <w:color w:val="666666"/>
                <w:sz w:val="36"/>
                <w:szCs w:val="36"/>
                <w:shd w:val="clear" w:color="auto" w:fill="FFFFFF"/>
                <w:lang w:val="en-US"/>
              </w:rPr>
              <w:t> </w:t>
            </w:r>
          </w:p>
          <w:p w:rsidR="00665DAD" w:rsidRPr="00A84739" w:rsidRDefault="00665DAD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EA3E19" w:rsidRPr="0091747E" w:rsidTr="003C21E8">
        <w:trPr>
          <w:gridAfter w:val="1"/>
          <w:wAfter w:w="42" w:type="dxa"/>
          <w:trHeight w:val="112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3C21E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5F609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BC2BA0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07" w:rsidRDefault="00C36307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n-US" w:eastAsia="es-MX"/>
              </w:rPr>
            </w:pPr>
            <w:r w:rsidRPr="00C36307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38a LGT_Art_70_Fr_XXXVIII</w:t>
            </w:r>
          </w:p>
          <w:p w:rsidR="00EA3E19" w:rsidRPr="00BC2BA0" w:rsidRDefault="00C36307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C36307">
              <w:rPr>
                <w:rFonts w:eastAsia="Times New Roman" w:cs="Times New Roman"/>
                <w:sz w:val="18"/>
                <w:szCs w:val="18"/>
                <w:lang w:val="en-US" w:eastAsia="es-MX"/>
              </w:rPr>
              <w:t xml:space="preserve">Formato 38b LGT_Art_70_Fr_XXXVIII </w:t>
            </w:r>
          </w:p>
        </w:tc>
      </w:tr>
      <w:tr w:rsidR="00EA3E19" w:rsidRPr="0091747E" w:rsidTr="003C21E8">
        <w:trPr>
          <w:gridAfter w:val="1"/>
          <w:wAfter w:w="42" w:type="dxa"/>
          <w:trHeight w:val="72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5F609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4E2E12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Unidad de Transparencia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12" w:rsidRDefault="004E2E12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n-US"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39a LGT_Art_70_Fr_XXXIX</w:t>
            </w:r>
          </w:p>
          <w:p w:rsidR="004E2E12" w:rsidRDefault="004E2E12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n-US"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39b LGT_Art_70_Fr_XXXIX</w:t>
            </w:r>
          </w:p>
          <w:p w:rsidR="004E2E12" w:rsidRDefault="004E2E12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n-US"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39c LGT_Art_70_Fr_XXXIX</w:t>
            </w:r>
          </w:p>
          <w:p w:rsidR="00235B6C" w:rsidRPr="00166C6D" w:rsidRDefault="004E2E12" w:rsidP="003C21E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39d LGT_Art_70_Fr_XXXIX</w:t>
            </w:r>
          </w:p>
        </w:tc>
      </w:tr>
      <w:tr w:rsidR="00EA3E19" w:rsidRPr="0091747E" w:rsidTr="003C21E8">
        <w:trPr>
          <w:gridAfter w:val="1"/>
          <w:wAfter w:w="42" w:type="dxa"/>
          <w:trHeight w:val="97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B2732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B2732B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502" w:rsidRDefault="003D7502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EA3E19" w:rsidRPr="00DF2BB3" w:rsidRDefault="005F609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C36307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36307">
              <w:rPr>
                <w:rFonts w:eastAsia="Times New Roman" w:cs="Times New Roman"/>
                <w:sz w:val="18"/>
                <w:szCs w:val="18"/>
                <w:lang w:eastAsia="es-MX"/>
              </w:rPr>
              <w:t>Dirección de Instituto de Investigación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Pr="006A42FD" w:rsidRDefault="00C36307" w:rsidP="00A4549E">
            <w:pPr>
              <w:spacing w:after="0" w:line="240" w:lineRule="auto"/>
              <w:jc w:val="both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6A42FD">
              <w:rPr>
                <w:rFonts w:ascii="Candara" w:hAnsi="Candara"/>
                <w:bCs/>
                <w:sz w:val="18"/>
                <w:szCs w:val="18"/>
                <w:lang w:val="en-US"/>
              </w:rPr>
              <w:t>Formato 40a LGT_Art_70_Fr_XL</w:t>
            </w:r>
          </w:p>
          <w:p w:rsidR="00C36307" w:rsidRPr="006A42FD" w:rsidRDefault="00C36307" w:rsidP="00A4549E">
            <w:pPr>
              <w:spacing w:after="0" w:line="240" w:lineRule="auto"/>
              <w:jc w:val="both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6A42FD">
              <w:rPr>
                <w:rFonts w:ascii="Candara" w:hAnsi="Candara"/>
                <w:bCs/>
                <w:sz w:val="18"/>
                <w:szCs w:val="18"/>
                <w:lang w:val="en-US"/>
              </w:rPr>
              <w:t>Formato 40b LGT_Art_70_Fr_XL</w:t>
            </w:r>
          </w:p>
        </w:tc>
      </w:tr>
      <w:tr w:rsidR="00EA3E19" w:rsidRPr="0091747E" w:rsidTr="003C21E8">
        <w:trPr>
          <w:gridAfter w:val="1"/>
          <w:wAfter w:w="42" w:type="dxa"/>
          <w:trHeight w:val="71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3C21E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5F609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3D7502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Vice-rectoría Académica</w:t>
            </w:r>
            <w:r w:rsidR="00665DA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BC" w:rsidRPr="0091747E" w:rsidRDefault="00D45FBC" w:rsidP="00A4549E">
            <w:pPr>
              <w:spacing w:after="101"/>
              <w:jc w:val="both"/>
              <w:rPr>
                <w:rFonts w:eastAsia="Times New Roman" w:cs="Times New Roman"/>
                <w:sz w:val="18"/>
                <w:szCs w:val="18"/>
                <w:lang w:val="en-US" w:eastAsia="es-MX"/>
              </w:rPr>
            </w:pPr>
          </w:p>
          <w:p w:rsidR="00EA3E19" w:rsidRPr="0091747E" w:rsidRDefault="00665DAD" w:rsidP="003C21E8">
            <w:pPr>
              <w:spacing w:after="101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1747E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41 LGT_Art_70_Fr_XLI</w:t>
            </w:r>
          </w:p>
        </w:tc>
      </w:tr>
      <w:tr w:rsidR="00EA3E19" w:rsidRPr="0091747E" w:rsidTr="003C21E8">
        <w:trPr>
          <w:gridAfter w:val="1"/>
          <w:wAfter w:w="42" w:type="dxa"/>
          <w:trHeight w:val="12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5F609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166C6D" w:rsidRDefault="008450C8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 xml:space="preserve">El </w:t>
            </w:r>
            <w:r w:rsidRPr="00B72A9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42</w:t>
            </w:r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b</w:t>
            </w:r>
            <w:r w:rsidRPr="00B72A9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 xml:space="preserve"> LGT_Art_70_Fr_XLII</w:t>
            </w:r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 xml:space="preserve"> es facultad de las instituciones de seguridad social o que pagan jubilaciones o pensiones en forma directa a sus trabajadores.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9152D1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D1" w:rsidRPr="008776BB" w:rsidRDefault="009152D1" w:rsidP="00A4549E">
            <w:pPr>
              <w:spacing w:after="101"/>
              <w:jc w:val="both"/>
              <w:rPr>
                <w:rFonts w:eastAsia="Times New Roman" w:cs="Times New Roman"/>
                <w:sz w:val="18"/>
                <w:szCs w:val="18"/>
                <w:lang w:val="en-US" w:eastAsia="es-MX"/>
              </w:rPr>
            </w:pPr>
            <w:r w:rsidRPr="008776BB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42a LGT_Art_70_Fr_XLII</w:t>
            </w:r>
          </w:p>
          <w:p w:rsidR="00EA3E19" w:rsidRPr="008776BB" w:rsidRDefault="00EA3E19" w:rsidP="00A4549E">
            <w:pPr>
              <w:spacing w:after="101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EA3E19" w:rsidRPr="0091747E" w:rsidTr="003C21E8">
        <w:trPr>
          <w:gridAfter w:val="1"/>
          <w:wAfter w:w="42" w:type="dxa"/>
          <w:trHeight w:val="103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3C21E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5F609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665DAD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Departamento de Recursos Financieros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776BB" w:rsidRDefault="00665DAD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n-US" w:eastAsia="es-MX"/>
              </w:rPr>
            </w:pPr>
            <w:r w:rsidRPr="008776BB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43a LGT_Art_70_Fr_XLIII</w:t>
            </w:r>
          </w:p>
          <w:p w:rsidR="00665DAD" w:rsidRPr="008776BB" w:rsidRDefault="00665DAD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8776BB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43b LGT_Art_70_Fr_XLIII</w:t>
            </w:r>
          </w:p>
        </w:tc>
      </w:tr>
      <w:tr w:rsidR="00EA3E19" w:rsidRPr="0091747E" w:rsidTr="003C21E8">
        <w:trPr>
          <w:gridAfter w:val="1"/>
          <w:wAfter w:w="42" w:type="dxa"/>
          <w:trHeight w:val="108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5F609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5" w:rsidRPr="00166C6D" w:rsidRDefault="003160F4" w:rsidP="003C21E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El </w:t>
            </w:r>
            <w:r w:rsidRPr="003160F4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Formato 44a LGT_Art_70_Fr_XLIV</w:t>
            </w:r>
            <w:r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 no aplica  en virtud que esta Universidad no otorga apoyos en dinero.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DF2BB3" w:rsidRDefault="00665DAD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Financieros</w:t>
            </w:r>
            <w:r w:rsidR="00D45FB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, Departamento de Recursos </w:t>
            </w:r>
            <w:r w:rsidR="00B2732B">
              <w:rPr>
                <w:rFonts w:eastAsia="Times New Roman" w:cs="Times New Roman"/>
                <w:sz w:val="18"/>
                <w:szCs w:val="18"/>
                <w:lang w:eastAsia="es-MX"/>
              </w:rPr>
              <w:t>Materiales.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AD" w:rsidRPr="00984D4C" w:rsidRDefault="00665DAD" w:rsidP="003C21E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FB3DC7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44b LGT_A</w:t>
            </w:r>
            <w:r w:rsidRPr="00984D4C">
              <w:rPr>
                <w:rFonts w:eastAsia="Times New Roman" w:cs="Times New Roman"/>
                <w:sz w:val="18"/>
                <w:szCs w:val="18"/>
                <w:lang w:val="en-US" w:eastAsia="es-MX"/>
              </w:rPr>
              <w:t>rt_70_Fr_XLIV</w:t>
            </w:r>
          </w:p>
        </w:tc>
      </w:tr>
      <w:tr w:rsidR="00EA3E19" w:rsidRPr="0091747E" w:rsidTr="003C21E8">
        <w:trPr>
          <w:gridAfter w:val="1"/>
          <w:wAfter w:w="42" w:type="dxa"/>
          <w:trHeight w:val="48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DF2BB3" w:rsidRDefault="005F609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166C6D" w:rsidRDefault="00EA3E19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DF2BB3" w:rsidRDefault="004E2E12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Unidad de Transparencia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166C6D" w:rsidRDefault="004E2E12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45 LGT_Art_70_Fr_XLV</w:t>
            </w:r>
          </w:p>
        </w:tc>
      </w:tr>
      <w:tr w:rsidR="003C21E8" w:rsidRPr="0091747E" w:rsidTr="003C21E8">
        <w:trPr>
          <w:gridAfter w:val="1"/>
          <w:wAfter w:w="42" w:type="dxa"/>
          <w:trHeight w:val="90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8" w:rsidRPr="00166C6D" w:rsidRDefault="003C21E8" w:rsidP="003C21E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8" w:rsidRPr="00166C6D" w:rsidRDefault="003C21E8" w:rsidP="003C21E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21E8" w:rsidRPr="00DF2BB3" w:rsidRDefault="0091747E" w:rsidP="003C21E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No a</w:t>
            </w:r>
            <w:r w:rsidR="003C21E8">
              <w:rPr>
                <w:rFonts w:eastAsia="Times New Roman" w:cs="Times New Roman"/>
                <w:sz w:val="18"/>
                <w:szCs w:val="18"/>
                <w:lang w:eastAsia="es-MX"/>
              </w:rPr>
              <w:t>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E8" w:rsidRPr="00166C6D" w:rsidRDefault="003C21E8" w:rsidP="003C21E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21E8" w:rsidRPr="00DF2BB3" w:rsidRDefault="003C21E8" w:rsidP="009174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E8" w:rsidRPr="006A42FD" w:rsidRDefault="003C21E8" w:rsidP="003C21E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bookmarkStart w:id="0" w:name="_GoBack"/>
            <w:bookmarkEnd w:id="0"/>
          </w:p>
        </w:tc>
      </w:tr>
      <w:tr w:rsidR="00223BF5" w:rsidRPr="00444FF4" w:rsidTr="003C21E8">
        <w:trPr>
          <w:gridAfter w:val="1"/>
          <w:wAfter w:w="42" w:type="dxa"/>
          <w:trHeight w:val="49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F5" w:rsidRPr="00166C6D" w:rsidRDefault="00223BF5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F5" w:rsidRPr="003C21E8" w:rsidRDefault="00223BF5" w:rsidP="00A4549E">
            <w:pPr>
              <w:spacing w:after="0" w:line="240" w:lineRule="auto"/>
              <w:jc w:val="both"/>
              <w:rPr>
                <w:rFonts w:ascii="Candara" w:eastAsia="Times New Roman" w:hAnsi="Candara" w:cs="Arial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166C6D">
              <w:rPr>
                <w:rFonts w:ascii="Candara" w:eastAsia="Times New Roman" w:hAnsi="Candara" w:cs="Arial"/>
                <w:i/>
                <w:iCs/>
                <w:sz w:val="18"/>
                <w:szCs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BF5" w:rsidRPr="00DF2BB3" w:rsidRDefault="00223BF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5" w:rsidRPr="00FB3DC7" w:rsidRDefault="00223BF5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Artículos 4 y5 del Decreto de Creación de la UMAR, s</w:t>
            </w:r>
            <w:r w:rsidRPr="00FB3DC7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omos una Institución de Educación Superior. </w:t>
            </w:r>
            <w:r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Le aplica a</w:t>
            </w:r>
            <w:r w:rsidRPr="00FB3DC7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 la Fiscalía General del Estado de Oaxaca, Poder Judicial del Estado y Secretaría de Seguridad Pública en términos de los arts. 291, 294, 297, 300 y 303 del Código Nacional de Procedimientos Penales en relación con el 190 de la Ley Federal de Telecomunicaciones y Radiodifusión, les compete el llenado de los formatos </w:t>
            </w:r>
          </w:p>
          <w:p w:rsidR="00223BF5" w:rsidRPr="008776BB" w:rsidRDefault="00223BF5" w:rsidP="00A4549E">
            <w:pPr>
              <w:pStyle w:val="Textoindependiente"/>
              <w:ind w:left="0" w:right="119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8776BB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47A LGT_Art_70_Fr_XLVII y </w:t>
            </w:r>
          </w:p>
          <w:p w:rsidR="00223BF5" w:rsidRPr="00FB3DC7" w:rsidRDefault="00223BF5" w:rsidP="003C21E8">
            <w:pPr>
              <w:pStyle w:val="Textoindependiente"/>
              <w:ind w:left="0" w:right="119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91747E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47B LGT_Art_70_Fr_XLVII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BF5" w:rsidRPr="00DF2BB3" w:rsidRDefault="00A4549E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Unidad de Transparencia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9E" w:rsidRDefault="00A4549E" w:rsidP="00A4549E">
            <w:pPr>
              <w:pStyle w:val="Textoindependiente"/>
              <w:ind w:left="0" w:right="119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s-MX" w:eastAsia="es-MX"/>
              </w:rPr>
            </w:pPr>
            <w:r w:rsidRPr="00FB3DC7">
              <w:rPr>
                <w:rFonts w:ascii="Candara" w:eastAsia="Times New Roman" w:hAnsi="Candara" w:cs="Times New Roman"/>
                <w:sz w:val="18"/>
                <w:szCs w:val="18"/>
                <w:lang w:val="es-MX" w:eastAsia="es-MX"/>
              </w:rPr>
              <w:t>47</w:t>
            </w:r>
            <w:r>
              <w:rPr>
                <w:rFonts w:ascii="Candara" w:eastAsia="Times New Roman" w:hAnsi="Candara" w:cs="Times New Roman"/>
                <w:sz w:val="18"/>
                <w:szCs w:val="18"/>
                <w:lang w:val="es-MX" w:eastAsia="es-MX"/>
              </w:rPr>
              <w:t>c</w:t>
            </w:r>
            <w:r w:rsidRPr="00FB3DC7">
              <w:rPr>
                <w:rFonts w:ascii="Candara" w:eastAsia="Times New Roman" w:hAnsi="Candara" w:cs="Times New Roman"/>
                <w:sz w:val="18"/>
                <w:szCs w:val="18"/>
                <w:lang w:val="es-MX" w:eastAsia="es-MX"/>
              </w:rPr>
              <w:t xml:space="preserve"> LGT_Art_70_Fr_XLVII</w:t>
            </w:r>
          </w:p>
          <w:p w:rsidR="00223BF5" w:rsidRPr="00E44274" w:rsidRDefault="00223BF5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highlight w:val="yellow"/>
                <w:lang w:eastAsia="es-MX"/>
              </w:rPr>
            </w:pPr>
          </w:p>
        </w:tc>
      </w:tr>
      <w:tr w:rsidR="00223BF5" w:rsidRPr="0091747E" w:rsidTr="003C21E8">
        <w:trPr>
          <w:gridAfter w:val="1"/>
          <w:wAfter w:w="42" w:type="dxa"/>
          <w:trHeight w:val="77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F5" w:rsidRPr="00166C6D" w:rsidRDefault="00223BF5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F5" w:rsidRPr="00166C6D" w:rsidRDefault="00223BF5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  <w:p w:rsidR="00223BF5" w:rsidRPr="00166C6D" w:rsidRDefault="00223BF5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BF5" w:rsidRPr="00DF2BB3" w:rsidRDefault="00223BF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5" w:rsidRPr="00283515" w:rsidRDefault="00223BF5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0"/>
                <w:szCs w:val="18"/>
                <w:lang w:eastAsia="es-MX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BF5" w:rsidRDefault="00223BF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Auditoría Interna.</w:t>
            </w:r>
          </w:p>
          <w:p w:rsidR="00223BF5" w:rsidRDefault="00223BF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Coordinación de Promoción al Desarrollo,</w:t>
            </w:r>
          </w:p>
          <w:p w:rsidR="00223BF5" w:rsidRDefault="00223BF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Departamento de Proyectos,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Construcción y Mantenimiento,</w:t>
            </w:r>
          </w:p>
          <w:p w:rsidR="00223BF5" w:rsidRPr="00DF2BB3" w:rsidRDefault="00223BF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Financieros, Unidad de Transparencia, Oficina del Abogado General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F5" w:rsidRPr="00B20910" w:rsidRDefault="00223BF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n-US" w:eastAsia="es-MX"/>
              </w:rPr>
            </w:pPr>
            <w:r w:rsidRPr="00B20910">
              <w:rPr>
                <w:rFonts w:eastAsia="Times New Roman" w:cs="Times New Roman"/>
                <w:sz w:val="18"/>
                <w:szCs w:val="18"/>
                <w:lang w:val="en-US" w:eastAsia="es-MX"/>
              </w:rPr>
              <w:lastRenderedPageBreak/>
              <w:t>Formato 48a LGT_Art_70_Fr_XLVIII</w:t>
            </w:r>
          </w:p>
          <w:p w:rsidR="00223BF5" w:rsidRPr="00F818AF" w:rsidRDefault="00223BF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n-US" w:eastAsia="es-MX"/>
              </w:rPr>
            </w:pPr>
            <w:r w:rsidRPr="00F818AF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48b LGT_Art_70_Fr_XLVIII</w:t>
            </w:r>
          </w:p>
          <w:p w:rsidR="00223BF5" w:rsidRPr="00F818AF" w:rsidRDefault="00223BF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n-US" w:eastAsia="es-MX"/>
              </w:rPr>
            </w:pPr>
            <w:r w:rsidRPr="00F818AF">
              <w:rPr>
                <w:rFonts w:eastAsia="Times New Roman" w:cs="Times New Roman"/>
                <w:sz w:val="18"/>
                <w:szCs w:val="18"/>
                <w:lang w:val="en-US" w:eastAsia="es-MX"/>
              </w:rPr>
              <w:t>Formato 48c LGT_Art_70_Fr_XLVIII</w:t>
            </w:r>
          </w:p>
          <w:p w:rsidR="00223BF5" w:rsidRPr="00F818AF" w:rsidRDefault="00223BF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n-US" w:eastAsia="es-MX"/>
              </w:rPr>
            </w:pPr>
          </w:p>
          <w:p w:rsidR="00223BF5" w:rsidRDefault="00223BF5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  <w:p w:rsidR="00223BF5" w:rsidRPr="008776BB" w:rsidRDefault="00223BF5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223BF5" w:rsidRPr="00166C6D" w:rsidTr="003C21E8">
        <w:trPr>
          <w:gridAfter w:val="1"/>
          <w:wAfter w:w="42" w:type="dxa"/>
          <w:trHeight w:val="123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F5" w:rsidRPr="00166C6D" w:rsidRDefault="00223BF5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66C6D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F5" w:rsidRPr="00166C6D" w:rsidRDefault="00223BF5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Último párrafo </w:t>
            </w:r>
          </w:p>
          <w:p w:rsidR="00223BF5" w:rsidRPr="00166C6D" w:rsidRDefault="00223BF5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 xml:space="preserve">Los  sujetos  obligados  deberán  informar  a  los  Organismos  garantes  y  verificar  que  se  publiquen  en  la </w:t>
            </w:r>
          </w:p>
          <w:p w:rsidR="00223BF5" w:rsidRPr="00166C6D" w:rsidRDefault="00223BF5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>Plataforma Nacional, cuáles son los rubros que son aplicables a sus páginas de Internet, con el objeto de que éstos verifiquen y aprueben, de forma fundada y motivada, la relación de fracciones aplicables a cada sujeto obligado.</w:t>
            </w:r>
          </w:p>
          <w:p w:rsidR="00223BF5" w:rsidRPr="00166C6D" w:rsidRDefault="00223BF5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223BF5" w:rsidRPr="00166C6D" w:rsidRDefault="00223BF5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Cs/>
                <w:iCs/>
                <w:sz w:val="18"/>
                <w:szCs w:val="18"/>
                <w:lang w:eastAsia="es-MX"/>
              </w:rPr>
              <w:t>*TABLA DE APLICABILIDAD GLOBAL</w:t>
            </w:r>
          </w:p>
          <w:p w:rsidR="00223BF5" w:rsidRPr="00166C6D" w:rsidRDefault="00223BF5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Cs/>
                <w:sz w:val="18"/>
                <w:szCs w:val="18"/>
                <w:lang w:eastAsia="es-MX"/>
              </w:rPr>
            </w:pPr>
            <w:r w:rsidRPr="00166C6D">
              <w:rPr>
                <w:rFonts w:ascii="Candara" w:eastAsia="Times New Roman" w:hAnsi="Candara" w:cs="Times New Roman"/>
                <w:bCs/>
                <w:iCs/>
                <w:sz w:val="18"/>
                <w:szCs w:val="18"/>
                <w:lang w:eastAsia="es-MX"/>
              </w:rPr>
              <w:t>*TABLAS DE ACTUALIZACIÓN Y CONSERVACIÓN DE LA INFORMACIÓN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BF5" w:rsidRPr="00DF2BB3" w:rsidRDefault="00223BF5" w:rsidP="00A454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F5" w:rsidRPr="00166C6D" w:rsidRDefault="00223BF5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BF5" w:rsidRPr="00F61703" w:rsidRDefault="00A4549E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61703">
              <w:rPr>
                <w:rFonts w:eastAsia="Times New Roman" w:cs="Times New Roman"/>
                <w:sz w:val="18"/>
                <w:szCs w:val="18"/>
                <w:lang w:eastAsia="es-MX"/>
              </w:rPr>
              <w:t>Unidad de Transparencia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F5" w:rsidRPr="00F61703" w:rsidRDefault="00223BF5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61703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70_00 LGT_Art_70</w:t>
            </w:r>
          </w:p>
        </w:tc>
      </w:tr>
      <w:tr w:rsidR="009755D6" w:rsidRPr="0091747E" w:rsidTr="003C21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1" w:type="dxa"/>
          <w:cantSplit/>
          <w:trHeight w:val="905"/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9755D6" w:rsidRPr="00F61703" w:rsidRDefault="009755D6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6"/>
                <w:lang w:eastAsia="es-MX"/>
              </w:rPr>
            </w:pPr>
            <w:r w:rsidRPr="00F61703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6"/>
                <w:lang w:eastAsia="es-MX"/>
              </w:rPr>
              <w:t>LGT</w:t>
            </w:r>
          </w:p>
          <w:p w:rsidR="009755D6" w:rsidRPr="00F61703" w:rsidRDefault="009755D6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6"/>
                <w:lang w:eastAsia="es-MX"/>
              </w:rPr>
            </w:pPr>
          </w:p>
          <w:p w:rsidR="009755D6" w:rsidRPr="00F61703" w:rsidRDefault="009755D6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6"/>
                <w:lang w:eastAsia="es-MX"/>
              </w:rPr>
            </w:pPr>
            <w:r w:rsidRPr="00F61703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6"/>
                <w:lang w:eastAsia="es-MX"/>
              </w:rPr>
              <w:t xml:space="preserve">Artículo 80. </w:t>
            </w:r>
            <w:r w:rsidRPr="00F61703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6"/>
                <w:lang w:eastAsia="es-MX"/>
              </w:rPr>
              <w:t>Para determinar la información adicional que publicarán todos los sujetos obligados de manera obligatoria, los Organismos garantes deberán:</w:t>
            </w:r>
          </w:p>
          <w:p w:rsidR="009755D6" w:rsidRPr="00F61703" w:rsidRDefault="009755D6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6"/>
                <w:lang w:eastAsia="es-MX"/>
              </w:rPr>
            </w:pPr>
            <w:r w:rsidRPr="00F61703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6"/>
                <w:lang w:eastAsia="es-MX"/>
              </w:rPr>
              <w:t>…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9755D6" w:rsidRPr="00F61703" w:rsidRDefault="009755D6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6"/>
                <w:lang w:eastAsia="es-MX"/>
              </w:rPr>
            </w:pPr>
            <w:r w:rsidRPr="00F61703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6"/>
                <w:lang w:eastAsia="es-MX"/>
              </w:rPr>
              <w:t xml:space="preserve">Fracción I. </w:t>
            </w:r>
            <w:r w:rsidRPr="00F61703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6"/>
                <w:lang w:eastAsia="es-MX"/>
              </w:rPr>
              <w:t>Solicitar a los sujetos obligados que, atendiendo a los lineamientos emitidos por el Sistema Nacional, remitan el listado de información que consideren de interés público;</w:t>
            </w:r>
          </w:p>
          <w:p w:rsidR="009755D6" w:rsidRPr="00F61703" w:rsidRDefault="009755D6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6"/>
                <w:lang w:eastAsia="es-MX"/>
              </w:rPr>
            </w:pPr>
            <w:r w:rsidRPr="00F61703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6"/>
                <w:lang w:eastAsia="es-MX"/>
              </w:rPr>
              <w:t xml:space="preserve">Fracción II. </w:t>
            </w:r>
            <w:r w:rsidRPr="00F61703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6"/>
                <w:lang w:eastAsia="es-MX"/>
              </w:rPr>
              <w:t>Revisar el listado que remitió el sujeto obligado con base en las funciones, atribuciones y competencias que la normatividad aplicable le otorgue, y</w:t>
            </w:r>
          </w:p>
          <w:p w:rsidR="009755D6" w:rsidRPr="00F61703" w:rsidRDefault="009755D6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6"/>
                <w:lang w:eastAsia="es-MX"/>
              </w:rPr>
            </w:pPr>
            <w:r w:rsidRPr="00F61703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6"/>
                <w:lang w:eastAsia="es-MX"/>
              </w:rPr>
              <w:t xml:space="preserve">Fracción III. </w:t>
            </w:r>
            <w:r w:rsidRPr="00F61703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6"/>
                <w:lang w:eastAsia="es-MX"/>
              </w:rPr>
              <w:t>Determinar el catálogo de información que el sujeto obligado deberá publicar como obligación de transparencia.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755D6" w:rsidRPr="00F61703" w:rsidRDefault="009755D6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F61703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755D6" w:rsidRPr="006246E7" w:rsidRDefault="00B364CD" w:rsidP="00932A9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91747E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 xml:space="preserve">El </w:t>
            </w:r>
            <w:r w:rsidRPr="00B364CD">
              <w:rPr>
                <w:rFonts w:ascii="Candara" w:eastAsia="Times New Roman" w:hAnsi="Candara" w:cs="Times New Roman"/>
                <w:iCs/>
                <w:noProof/>
                <w:sz w:val="18"/>
                <w:lang w:eastAsia="es-MX"/>
              </w:rPr>
              <w:t>Formato 1</w:t>
            </w:r>
            <w:r w:rsidR="00932A97">
              <w:rPr>
                <w:rFonts w:ascii="Candara" w:eastAsia="Times New Roman" w:hAnsi="Candara" w:cs="Times New Roman"/>
                <w:iCs/>
                <w:noProof/>
                <w:sz w:val="18"/>
                <w:lang w:eastAsia="es-MX"/>
              </w:rPr>
              <w:t>a</w:t>
            </w:r>
            <w:r w:rsidRPr="00B364CD">
              <w:rPr>
                <w:rFonts w:ascii="Candara" w:eastAsia="Times New Roman" w:hAnsi="Candara" w:cs="Times New Roman"/>
                <w:iCs/>
                <w:noProof/>
                <w:sz w:val="18"/>
                <w:lang w:eastAsia="es-MX"/>
              </w:rPr>
              <w:t xml:space="preserve"> LGT_Art_80_Fr_I_II_III corresponde al Organo Garante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755D6" w:rsidRDefault="00626ABE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Todas las Unidades Administrativas</w:t>
            </w:r>
          </w:p>
          <w:p w:rsidR="00634BAF" w:rsidRDefault="00634BAF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  <w:p w:rsidR="00634BAF" w:rsidRPr="006246E7" w:rsidRDefault="00634BAF" w:rsidP="00A4549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9755D6" w:rsidRPr="003C7201" w:rsidRDefault="009755D6" w:rsidP="00B364C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r w:rsidRPr="003C7201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 1</w:t>
            </w:r>
            <w:r w:rsidR="00B364CD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b</w:t>
            </w:r>
            <w:r w:rsidRPr="003C7201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 xml:space="preserve"> LGT_Art_80_Fr_I_II_III</w:t>
            </w:r>
          </w:p>
        </w:tc>
      </w:tr>
      <w:tr w:rsidR="0059150D" w:rsidRPr="006A42FD" w:rsidTr="003C21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1" w:type="dxa"/>
          <w:cantSplit/>
          <w:trHeight w:val="638"/>
          <w:jc w:val="center"/>
        </w:trPr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59150D" w:rsidRPr="0059150D" w:rsidRDefault="0059150D" w:rsidP="0059150D">
            <w:pP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6"/>
                <w:lang w:eastAsia="es-MX"/>
              </w:rPr>
            </w:pPr>
            <w:r w:rsidRPr="0059150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6"/>
                <w:lang w:eastAsia="es-MX"/>
              </w:rPr>
              <w:t>LTO</w:t>
            </w:r>
          </w:p>
          <w:p w:rsidR="0059150D" w:rsidRPr="0059150D" w:rsidRDefault="0059150D" w:rsidP="0059150D">
            <w:pP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6"/>
                <w:lang w:eastAsia="es-MX"/>
              </w:rPr>
            </w:pPr>
            <w:r w:rsidRPr="0059150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6"/>
                <w:lang w:eastAsia="es-MX"/>
              </w:rPr>
              <w:t xml:space="preserve">* Artículo 28. </w:t>
            </w:r>
          </w:p>
          <w:p w:rsidR="0059150D" w:rsidRPr="0059150D" w:rsidRDefault="0059150D" w:rsidP="0059150D">
            <w:pPr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6"/>
                <w:lang w:eastAsia="es-MX"/>
              </w:rPr>
            </w:pPr>
            <w:r w:rsidRPr="0059150D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6"/>
                <w:lang w:eastAsia="es-MX"/>
              </w:rPr>
              <w:t>…</w:t>
            </w:r>
          </w:p>
          <w:p w:rsidR="0059150D" w:rsidRPr="0059150D" w:rsidRDefault="0059150D" w:rsidP="0059150D">
            <w:pPr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6"/>
                <w:lang w:eastAsia="es-MX"/>
              </w:rPr>
            </w:pPr>
            <w:r w:rsidRPr="0059150D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6"/>
                <w:lang w:eastAsia="es-MX"/>
              </w:rPr>
              <w:t xml:space="preserve">Además de lo señalado en el artículo 75 de la Ley General, y en los artículos 19 y 20 de </w:t>
            </w:r>
            <w:r w:rsidRPr="0059150D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6"/>
                <w:lang w:eastAsia="es-MX"/>
              </w:rPr>
              <w:lastRenderedPageBreak/>
              <w:t>esta Ley, las universidades públicas e instituciones de educación superior pública, deberán poner a disposición del público y mantener actualizada la siguiente información: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9150D" w:rsidRPr="003C21E8" w:rsidRDefault="0059150D" w:rsidP="0059150D">
            <w:pPr>
              <w:pStyle w:val="Default"/>
              <w:jc w:val="both"/>
              <w:rPr>
                <w:rFonts w:ascii="Candara" w:eastAsia="Times New Roman" w:hAnsi="Candara" w:cs="Times New Roman"/>
                <w:bCs/>
                <w:i/>
                <w:iCs/>
                <w:color w:val="auto"/>
                <w:sz w:val="18"/>
                <w:szCs w:val="16"/>
                <w:lang w:eastAsia="es-MX"/>
              </w:rPr>
            </w:pPr>
            <w:r w:rsidRPr="00F61703">
              <w:rPr>
                <w:rFonts w:ascii="Candara" w:eastAsia="Times New Roman" w:hAnsi="Candara" w:cs="Times New Roman"/>
                <w:b/>
                <w:bCs/>
                <w:i/>
                <w:iCs/>
                <w:color w:val="auto"/>
                <w:sz w:val="18"/>
                <w:szCs w:val="16"/>
                <w:lang w:eastAsia="es-MX"/>
              </w:rPr>
              <w:lastRenderedPageBreak/>
              <w:t xml:space="preserve">I. </w:t>
            </w:r>
            <w:r w:rsidRPr="00F61703">
              <w:rPr>
                <w:rFonts w:ascii="Candara" w:eastAsia="Times New Roman" w:hAnsi="Candara" w:cs="Times New Roman"/>
                <w:bCs/>
                <w:i/>
                <w:iCs/>
                <w:color w:val="auto"/>
                <w:sz w:val="18"/>
                <w:szCs w:val="16"/>
                <w:lang w:eastAsia="es-MX"/>
              </w:rPr>
              <w:t xml:space="preserve">Los planes y programas de estudio según el sistema que ofrecen, ya sea escolarizado o abierto, con las áreas de conocimiento, el perfil profesional requerido para cursar el plan de estudios, la duración del programa con las asignaturas por semestre, su valor de créditos y una descripción sintética para cada una de ellas;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9150D" w:rsidRPr="00F61703" w:rsidRDefault="0059150D" w:rsidP="0059150D">
            <w:pPr>
              <w:jc w:val="both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F61703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9150D" w:rsidRPr="00F61703" w:rsidRDefault="0059150D" w:rsidP="0059150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9150D" w:rsidRPr="006246E7" w:rsidRDefault="0059150D" w:rsidP="0059150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Vice-Rectoría Académica/Departamento de Servicios Escolares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59150D" w:rsidRPr="008776BB" w:rsidRDefault="0059150D" w:rsidP="0059150D">
            <w:pPr>
              <w:spacing w:after="0"/>
              <w:jc w:val="both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r w:rsidRPr="008776BB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 LTO_Art_28_Fr_I</w:t>
            </w:r>
          </w:p>
          <w:p w:rsidR="0059150D" w:rsidRPr="003C7201" w:rsidRDefault="0059150D" w:rsidP="0059150D">
            <w:pPr>
              <w:spacing w:after="0"/>
              <w:jc w:val="both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</w:p>
        </w:tc>
      </w:tr>
      <w:tr w:rsidR="0059150D" w:rsidRPr="006A42FD" w:rsidTr="003C21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1" w:type="dxa"/>
          <w:cantSplit/>
          <w:trHeight w:val="844"/>
          <w:jc w:val="center"/>
        </w:trPr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59150D" w:rsidRPr="00F61703" w:rsidRDefault="0059150D" w:rsidP="0059150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6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9150D" w:rsidRPr="00F61703" w:rsidRDefault="0059150D" w:rsidP="0059150D">
            <w:pPr>
              <w:pStyle w:val="Default"/>
              <w:jc w:val="both"/>
              <w:rPr>
                <w:rFonts w:ascii="Candara" w:eastAsia="Times New Roman" w:hAnsi="Candara" w:cs="Times New Roman"/>
                <w:bCs/>
                <w:i/>
                <w:iCs/>
                <w:color w:val="auto"/>
                <w:sz w:val="18"/>
                <w:szCs w:val="16"/>
                <w:lang w:eastAsia="es-MX"/>
              </w:rPr>
            </w:pPr>
            <w:r w:rsidRPr="00F61703">
              <w:rPr>
                <w:rFonts w:ascii="Candara" w:eastAsia="Times New Roman" w:hAnsi="Candara" w:cs="Times New Roman"/>
                <w:b/>
                <w:bCs/>
                <w:i/>
                <w:iCs/>
                <w:color w:val="auto"/>
                <w:sz w:val="18"/>
                <w:szCs w:val="16"/>
                <w:lang w:eastAsia="es-MX"/>
              </w:rPr>
              <w:t>II.</w:t>
            </w:r>
            <w:r w:rsidRPr="00F61703">
              <w:rPr>
                <w:rFonts w:ascii="Candara" w:eastAsia="Times New Roman" w:hAnsi="Candara" w:cs="Times New Roman"/>
                <w:bCs/>
                <w:i/>
                <w:iCs/>
                <w:color w:val="auto"/>
                <w:sz w:val="18"/>
                <w:szCs w:val="16"/>
                <w:lang w:eastAsia="es-MX"/>
              </w:rPr>
              <w:t xml:space="preserve"> Toda la información relacionada con sus procedimientos de admisión; </w:t>
            </w:r>
          </w:p>
          <w:p w:rsidR="0059150D" w:rsidRPr="00F61703" w:rsidRDefault="0059150D" w:rsidP="0059150D">
            <w:pPr>
              <w:pStyle w:val="Default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color w:val="auto"/>
                <w:sz w:val="18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9150D" w:rsidRPr="00F61703" w:rsidRDefault="0059150D" w:rsidP="0059150D">
            <w:pPr>
              <w:jc w:val="both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 xml:space="preserve">Aplica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9150D" w:rsidRPr="00F61703" w:rsidRDefault="0059150D" w:rsidP="0059150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9150D" w:rsidRPr="006246E7" w:rsidRDefault="0059150D" w:rsidP="0059150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Vice-Rectoría Académica/Departamento de Servicios Escolares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59150D" w:rsidRPr="008776BB" w:rsidRDefault="0059150D" w:rsidP="0059150D">
            <w:pPr>
              <w:spacing w:after="0"/>
              <w:jc w:val="both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r w:rsidRPr="008776BB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 LTO_Art_28_Fr_II</w:t>
            </w:r>
          </w:p>
          <w:p w:rsidR="0059150D" w:rsidRPr="008776BB" w:rsidRDefault="0059150D" w:rsidP="0059150D">
            <w:pPr>
              <w:spacing w:after="0"/>
              <w:jc w:val="both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</w:p>
        </w:tc>
      </w:tr>
      <w:tr w:rsidR="0059150D" w:rsidRPr="006A42FD" w:rsidTr="003C21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1" w:type="dxa"/>
          <w:cantSplit/>
          <w:trHeight w:val="762"/>
          <w:jc w:val="center"/>
        </w:trPr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59150D" w:rsidRPr="00F61703" w:rsidRDefault="0059150D" w:rsidP="0059150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6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9150D" w:rsidRPr="00F61703" w:rsidRDefault="0059150D" w:rsidP="0059150D">
            <w:pPr>
              <w:pStyle w:val="Default"/>
              <w:jc w:val="both"/>
              <w:rPr>
                <w:rFonts w:ascii="Candara" w:eastAsia="Times New Roman" w:hAnsi="Candara" w:cs="Times New Roman"/>
                <w:bCs/>
                <w:i/>
                <w:iCs/>
                <w:color w:val="auto"/>
                <w:sz w:val="18"/>
                <w:szCs w:val="16"/>
                <w:lang w:eastAsia="es-MX"/>
              </w:rPr>
            </w:pPr>
            <w:r w:rsidRPr="00F61703">
              <w:rPr>
                <w:rFonts w:ascii="Candara" w:eastAsia="Times New Roman" w:hAnsi="Candara" w:cs="Times New Roman"/>
                <w:b/>
                <w:bCs/>
                <w:i/>
                <w:iCs/>
                <w:color w:val="auto"/>
                <w:sz w:val="18"/>
                <w:szCs w:val="16"/>
                <w:lang w:eastAsia="es-MX"/>
              </w:rPr>
              <w:t>III.</w:t>
            </w:r>
            <w:r w:rsidRPr="00F61703">
              <w:rPr>
                <w:rFonts w:ascii="Candara" w:eastAsia="Times New Roman" w:hAnsi="Candara" w:cs="Times New Roman"/>
                <w:bCs/>
                <w:i/>
                <w:iCs/>
                <w:color w:val="auto"/>
                <w:sz w:val="18"/>
                <w:szCs w:val="16"/>
                <w:lang w:eastAsia="es-MX"/>
              </w:rPr>
              <w:t xml:space="preserve"> Los programas de becas y apoyos, los requisitos y el procedimiento para acceder a los mismos; </w:t>
            </w:r>
          </w:p>
          <w:p w:rsidR="0059150D" w:rsidRPr="00F61703" w:rsidRDefault="0059150D" w:rsidP="0059150D">
            <w:pPr>
              <w:pStyle w:val="Default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color w:val="auto"/>
                <w:sz w:val="18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9150D" w:rsidRPr="00F61703" w:rsidRDefault="0059150D" w:rsidP="0059150D">
            <w:pPr>
              <w:jc w:val="both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9150D" w:rsidRPr="00F61703" w:rsidRDefault="0059150D" w:rsidP="0059150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9150D" w:rsidRPr="006246E7" w:rsidRDefault="0059150D" w:rsidP="0059150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Vice-Rectoría Académica/Departamento de Servicios Escolares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59150D" w:rsidRPr="003C7201" w:rsidRDefault="0059150D" w:rsidP="0059150D">
            <w:pPr>
              <w:spacing w:after="0"/>
              <w:jc w:val="both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r w:rsidRPr="008776BB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 LTO_Art_</w:t>
            </w:r>
            <w:r w:rsidRPr="003C7201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28_Fr_III</w:t>
            </w:r>
          </w:p>
          <w:p w:rsidR="0059150D" w:rsidRPr="008776BB" w:rsidRDefault="0059150D" w:rsidP="0059150D">
            <w:pPr>
              <w:spacing w:after="0"/>
              <w:jc w:val="both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</w:p>
        </w:tc>
      </w:tr>
      <w:tr w:rsidR="0059150D" w:rsidRPr="006A42FD" w:rsidTr="003C21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1" w:type="dxa"/>
          <w:cantSplit/>
          <w:trHeight w:val="734"/>
          <w:jc w:val="center"/>
        </w:trPr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59150D" w:rsidRPr="00F61703" w:rsidRDefault="0059150D" w:rsidP="0059150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6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9150D" w:rsidRPr="003C21E8" w:rsidRDefault="0059150D" w:rsidP="0059150D">
            <w:pPr>
              <w:pStyle w:val="Default"/>
              <w:jc w:val="both"/>
              <w:rPr>
                <w:rFonts w:ascii="Candara" w:eastAsia="Times New Roman" w:hAnsi="Candara" w:cs="Times New Roman"/>
                <w:bCs/>
                <w:i/>
                <w:iCs/>
                <w:color w:val="auto"/>
                <w:sz w:val="18"/>
                <w:szCs w:val="16"/>
                <w:lang w:eastAsia="es-MX"/>
              </w:rPr>
            </w:pPr>
            <w:r w:rsidRPr="00F61703">
              <w:rPr>
                <w:rFonts w:ascii="Candara" w:eastAsia="Times New Roman" w:hAnsi="Candara" w:cs="Times New Roman"/>
                <w:b/>
                <w:bCs/>
                <w:i/>
                <w:iCs/>
                <w:color w:val="auto"/>
                <w:sz w:val="18"/>
                <w:szCs w:val="16"/>
                <w:lang w:eastAsia="es-MX"/>
              </w:rPr>
              <w:t>IV.</w:t>
            </w:r>
            <w:r w:rsidRPr="00F61703">
              <w:rPr>
                <w:rFonts w:ascii="Candara" w:eastAsia="Times New Roman" w:hAnsi="Candara" w:cs="Times New Roman"/>
                <w:bCs/>
                <w:i/>
                <w:iCs/>
                <w:color w:val="auto"/>
                <w:sz w:val="18"/>
                <w:szCs w:val="16"/>
                <w:lang w:eastAsia="es-MX"/>
              </w:rPr>
              <w:t xml:space="preserve"> Los indicadores de resultados en las evaluaciones al desempeño de la planta académica;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9150D" w:rsidRPr="00F61703" w:rsidRDefault="0059150D" w:rsidP="0059150D">
            <w:pPr>
              <w:jc w:val="both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9150D" w:rsidRPr="00F61703" w:rsidRDefault="0059150D" w:rsidP="0059150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9150D" w:rsidRPr="006246E7" w:rsidRDefault="0059150D" w:rsidP="0059150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Vice-Rectoría Académica/Departamento de Servicios Escolares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59150D" w:rsidRPr="003C7201" w:rsidRDefault="0059150D" w:rsidP="0059150D">
            <w:pPr>
              <w:spacing w:after="0"/>
              <w:jc w:val="both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r w:rsidRPr="003C7201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 LTO_Art_28_Fr_IV</w:t>
            </w:r>
          </w:p>
          <w:p w:rsidR="0059150D" w:rsidRPr="008776BB" w:rsidRDefault="0059150D" w:rsidP="0059150D">
            <w:pPr>
              <w:spacing w:after="0"/>
              <w:jc w:val="both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</w:p>
        </w:tc>
      </w:tr>
      <w:tr w:rsidR="0059150D" w:rsidRPr="006A42FD" w:rsidTr="003C21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1" w:type="dxa"/>
          <w:cantSplit/>
          <w:trHeight w:val="751"/>
          <w:jc w:val="center"/>
        </w:trPr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59150D" w:rsidRPr="00F61703" w:rsidRDefault="0059150D" w:rsidP="0059150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6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9150D" w:rsidRPr="00F61703" w:rsidRDefault="0059150D" w:rsidP="0059150D">
            <w:pPr>
              <w:pStyle w:val="Default"/>
              <w:jc w:val="both"/>
              <w:rPr>
                <w:rFonts w:ascii="Candara" w:eastAsia="Times New Roman" w:hAnsi="Candara" w:cs="Times New Roman"/>
                <w:bCs/>
                <w:i/>
                <w:iCs/>
                <w:color w:val="auto"/>
                <w:sz w:val="18"/>
                <w:szCs w:val="16"/>
                <w:lang w:eastAsia="es-MX"/>
              </w:rPr>
            </w:pPr>
            <w:r w:rsidRPr="00F61703">
              <w:rPr>
                <w:rFonts w:ascii="Candara" w:eastAsia="Times New Roman" w:hAnsi="Candara" w:cs="Times New Roman"/>
                <w:b/>
                <w:bCs/>
                <w:i/>
                <w:iCs/>
                <w:color w:val="auto"/>
                <w:sz w:val="18"/>
                <w:szCs w:val="16"/>
                <w:lang w:eastAsia="es-MX"/>
              </w:rPr>
              <w:t>V.</w:t>
            </w:r>
            <w:r w:rsidRPr="00F61703">
              <w:rPr>
                <w:rFonts w:ascii="Candara" w:eastAsia="Times New Roman" w:hAnsi="Candara" w:cs="Times New Roman"/>
                <w:bCs/>
                <w:i/>
                <w:iCs/>
                <w:color w:val="auto"/>
                <w:sz w:val="18"/>
                <w:szCs w:val="16"/>
                <w:lang w:eastAsia="es-MX"/>
              </w:rPr>
              <w:t xml:space="preserve"> El número de estudiantes que egresan por ciclo escolar, por escuela o facultad; </w:t>
            </w:r>
          </w:p>
          <w:p w:rsidR="0059150D" w:rsidRPr="00F61703" w:rsidRDefault="0059150D" w:rsidP="0059150D">
            <w:pPr>
              <w:pStyle w:val="Default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color w:val="auto"/>
                <w:sz w:val="18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9150D" w:rsidRPr="00F61703" w:rsidRDefault="0059150D" w:rsidP="0059150D">
            <w:pPr>
              <w:jc w:val="both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9150D" w:rsidRPr="00F61703" w:rsidRDefault="0059150D" w:rsidP="0059150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9150D" w:rsidRPr="006246E7" w:rsidRDefault="0059150D" w:rsidP="0059150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Vice-Rectoría Académica/Departamento de Servicios Escolares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59150D" w:rsidRPr="003C7201" w:rsidRDefault="0059150D" w:rsidP="0059150D">
            <w:pPr>
              <w:spacing w:after="0"/>
              <w:jc w:val="both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r w:rsidRPr="003C7201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 LTO_Art_28_Fr_V</w:t>
            </w:r>
          </w:p>
          <w:p w:rsidR="0059150D" w:rsidRPr="003C7201" w:rsidRDefault="0059150D" w:rsidP="0059150D">
            <w:pPr>
              <w:spacing w:after="0"/>
              <w:jc w:val="both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</w:p>
        </w:tc>
      </w:tr>
      <w:tr w:rsidR="0059150D" w:rsidRPr="0091747E" w:rsidTr="003C21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1" w:type="dxa"/>
          <w:cantSplit/>
          <w:trHeight w:val="786"/>
          <w:jc w:val="center"/>
        </w:trPr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59150D" w:rsidRPr="00F61703" w:rsidRDefault="0059150D" w:rsidP="0059150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6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9150D" w:rsidRPr="00F61703" w:rsidRDefault="0059150D" w:rsidP="0059150D">
            <w:pPr>
              <w:pStyle w:val="Default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color w:val="auto"/>
                <w:sz w:val="18"/>
                <w:szCs w:val="16"/>
                <w:lang w:eastAsia="es-MX"/>
              </w:rPr>
            </w:pPr>
            <w:r w:rsidRPr="00F61703">
              <w:rPr>
                <w:rFonts w:ascii="Candara" w:eastAsia="Times New Roman" w:hAnsi="Candara" w:cs="Times New Roman"/>
                <w:b/>
                <w:bCs/>
                <w:i/>
                <w:iCs/>
                <w:color w:val="auto"/>
                <w:sz w:val="18"/>
                <w:szCs w:val="16"/>
                <w:lang w:eastAsia="es-MX"/>
              </w:rPr>
              <w:t>VI.</w:t>
            </w:r>
            <w:r w:rsidRPr="00F61703">
              <w:rPr>
                <w:rFonts w:ascii="Candara" w:eastAsia="Times New Roman" w:hAnsi="Candara" w:cs="Times New Roman"/>
                <w:bCs/>
                <w:i/>
                <w:iCs/>
                <w:color w:val="auto"/>
                <w:sz w:val="18"/>
                <w:szCs w:val="16"/>
                <w:lang w:eastAsia="es-MX"/>
              </w:rPr>
              <w:t xml:space="preserve"> El calendario del ciclo escolar.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9150D" w:rsidRPr="00F61703" w:rsidRDefault="0059150D" w:rsidP="0059150D">
            <w:pPr>
              <w:jc w:val="both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9150D" w:rsidRPr="00F61703" w:rsidRDefault="0059150D" w:rsidP="0059150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9150D" w:rsidRPr="006246E7" w:rsidRDefault="0059150D" w:rsidP="0059150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Vice-Rectoría Académica/Departamento de Servicios Escolares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59150D" w:rsidRPr="003C7201" w:rsidRDefault="0059150D" w:rsidP="0059150D">
            <w:pPr>
              <w:spacing w:after="0"/>
              <w:jc w:val="both"/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</w:pPr>
            <w:r w:rsidRPr="003C7201">
              <w:rPr>
                <w:rFonts w:ascii="Candara" w:eastAsia="Times New Roman" w:hAnsi="Candara" w:cs="Times New Roman"/>
                <w:iCs/>
                <w:sz w:val="18"/>
                <w:lang w:val="en-US" w:eastAsia="es-MX"/>
              </w:rPr>
              <w:t>Formato LTO_Art_28_Fr_VI</w:t>
            </w:r>
          </w:p>
        </w:tc>
      </w:tr>
      <w:tr w:rsidR="0059150D" w:rsidRPr="00421686" w:rsidTr="003C21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1" w:type="dxa"/>
          <w:cantSplit/>
          <w:trHeight w:val="1543"/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59150D" w:rsidRPr="00421686" w:rsidRDefault="0059150D" w:rsidP="0059150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LTO</w:t>
            </w:r>
          </w:p>
          <w:p w:rsidR="0059150D" w:rsidRPr="00421686" w:rsidRDefault="0059150D" w:rsidP="0059150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</w:pP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36</w:t>
            </w:r>
            <w:r w:rsidRPr="00421686">
              <w:rPr>
                <w:rFonts w:ascii="Calibri Light" w:eastAsia="Times New Roman" w:hAnsi="Calibri Light" w:cs="Times New Roman"/>
                <w:bCs/>
                <w:i/>
                <w:iCs/>
                <w:sz w:val="16"/>
                <w:szCs w:val="16"/>
                <w:lang w:eastAsia="es-MX"/>
              </w:rPr>
              <w:t xml:space="preserve">. Los sujetos obligados que realicen obra pública, deberán difundir físicamente en el lugar de la obra, una placa o inscripción que señale que fue realizada con recursos públicos y el costo de la misma.  </w:t>
            </w:r>
            <w:r w:rsidRPr="00421686">
              <w:rPr>
                <w:rFonts w:ascii="Calibri Light" w:eastAsia="Times New Roman" w:hAnsi="Calibri Light" w:cs="Times New Roman"/>
                <w:b/>
                <w:bCs/>
                <w:i/>
                <w:iCs/>
                <w:sz w:val="16"/>
                <w:szCs w:val="16"/>
                <w:lang w:eastAsia="es-MX"/>
              </w:rPr>
              <w:tab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9150D" w:rsidRPr="00421686" w:rsidRDefault="0059150D" w:rsidP="0059150D">
            <w:pPr>
              <w:spacing w:after="240" w:line="240" w:lineRule="auto"/>
              <w:jc w:val="both"/>
              <w:rPr>
                <w:rFonts w:ascii="Calibri Light" w:eastAsia="Times New Roman" w:hAnsi="Calibri Light" w:cs="Times New Roman"/>
                <w:bCs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9150D" w:rsidRPr="006246E7" w:rsidRDefault="0059150D" w:rsidP="0059150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 w:rsidRPr="006246E7"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  <w:t>Aplica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9150D" w:rsidRPr="006246E7" w:rsidRDefault="0059150D" w:rsidP="0059150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9150D" w:rsidRPr="006246E7" w:rsidRDefault="0059150D" w:rsidP="0059150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Cs/>
                <w:sz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Proyectos, Construcción y Mantenimiento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59150D" w:rsidRPr="006246E7" w:rsidRDefault="0059150D" w:rsidP="0059150D">
            <w:pPr>
              <w:pStyle w:val="Ttulo3"/>
              <w:spacing w:after="240"/>
              <w:jc w:val="both"/>
              <w:rPr>
                <w:rFonts w:ascii="Candara" w:eastAsia="Times New Roman" w:hAnsi="Candara" w:cs="Times New Roman"/>
                <w:b w:val="0"/>
                <w:bCs w:val="0"/>
                <w:iCs/>
                <w:color w:val="auto"/>
                <w:sz w:val="18"/>
                <w:szCs w:val="22"/>
                <w:lang w:val="es-MX" w:eastAsia="es-MX"/>
              </w:rPr>
            </w:pPr>
            <w:r w:rsidRPr="006246E7">
              <w:rPr>
                <w:rFonts w:ascii="Candara" w:eastAsia="Times New Roman" w:hAnsi="Candara" w:cs="Times New Roman"/>
                <w:b w:val="0"/>
                <w:bCs w:val="0"/>
                <w:iCs/>
                <w:color w:val="auto"/>
                <w:sz w:val="18"/>
                <w:szCs w:val="22"/>
                <w:lang w:val="es-MX" w:eastAsia="es-MX"/>
              </w:rPr>
              <w:t>Formato  36 LTO_Art_36</w:t>
            </w:r>
          </w:p>
        </w:tc>
      </w:tr>
    </w:tbl>
    <w:p w:rsidR="00C94CA3" w:rsidRPr="006B0725" w:rsidRDefault="00C94CA3" w:rsidP="00A4549E">
      <w:pPr>
        <w:jc w:val="both"/>
        <w:rPr>
          <w:b/>
          <w:i/>
          <w:sz w:val="16"/>
          <w:szCs w:val="18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1"/>
        <w:gridCol w:w="4242"/>
        <w:gridCol w:w="4242"/>
      </w:tblGrid>
      <w:tr w:rsidR="00A4549E" w:rsidRPr="0085175D" w:rsidTr="00A4549E">
        <w:trPr>
          <w:trHeight w:val="709"/>
          <w:jc w:val="right"/>
        </w:trPr>
        <w:tc>
          <w:tcPr>
            <w:tcW w:w="4241" w:type="dxa"/>
          </w:tcPr>
          <w:p w:rsidR="00A4549E" w:rsidRPr="0085175D" w:rsidRDefault="00A4549E" w:rsidP="00A4549E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 w:rsidRPr="0085175D">
              <w:rPr>
                <w:rFonts w:ascii="Candara" w:eastAsia="Calibri" w:hAnsi="Candara" w:cs="Times New Roman"/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B097A7" wp14:editId="49B6960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415290</wp:posOffset>
                      </wp:positionV>
                      <wp:extent cx="1493520" cy="0"/>
                      <wp:effectExtent l="0" t="0" r="11430" b="190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1497893" id="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32.7pt" to="115.7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S/sgEAAL8DAAAOAAAAZHJzL2Uyb0RvYy54bWysU02PEzEMvSPxH6Lc6fQDEIw63UNXcEFQ&#10;wfIDshmnEymJIyd0pv8eJ21nESAhEJckTvxsv2dnezd5J05AyWLo5GqxlAKCxt6GYye/Prx78UaK&#10;lFXolcMAnTxDkne758+2Y2xhjQO6HkhwkJDaMXZyyDm2TZP0AF6lBUYI/GiQvMps0rHpSY0c3btm&#10;vVy+bkakPhJqSIlv7y+PclfjGwM6fzImQRauk1xbrivV9bGszW6r2iOpOFh9LUP9QxVe2cBJ51D3&#10;KivxjewvobzVhAlNXmj0DRpjNVQOzGa1/InNl0FFqFxYnBRnmdL/C6s/ng4kbN/JjRRBeW7RRuy5&#10;VTojCSpb0WiMqWXXfTjQ1UrxQIXwZMiXnamIqep6nnWFKQvNl6uXbzev1iy/vr01T8BIKb8H9KIc&#10;OulsKJRVq04fUuZk7HpzYaMUckldT/nsoDi78BkM0yjJKroOEOwdiZPi1iutIeRVocLxqneBGevc&#10;DFz+GXj1L1Cow/U34BlRM2PIM9jbgPS77Hm6lWwu/jcFLryLBI/Yn2tTqjQ8JZXhdaLLGP5oV/jT&#10;v9t9BwAA//8DAFBLAwQUAAYACAAAACEAIC346OAAAAAIAQAADwAAAGRycy9kb3ducmV2LnhtbEyP&#10;zU7DMBCE70i8g7VIXFDr9CdVlcapAKnqASpEwwO48TaJiNdR7KQpT88iDnDb2VnNfJtuR9uIATtf&#10;O1Iwm0YgkApnaioVfOS7yRqED5qMbhyhgit62Ga3N6lOjLvQOw7HUAoOIZ9oBVUIbSKlLyq02k9d&#10;i8Te2XVWB5ZdKU2nLxxuGzmPopW0uiZuqHSLzxUWn8feKtjvnvAlvvbl0sT7/GHIXw9fb2ul7u/G&#10;xw2IgGP4O4YffEaHjJlOrifjRaNgsmDyoGAVL0GwP1/MeDj9LmSWyv8PZN8AAAD//wMAUEsBAi0A&#10;FAAGAAgAAAAhALaDOJL+AAAA4QEAABMAAAAAAAAAAAAAAAAAAAAAAFtDb250ZW50X1R5cGVzXS54&#10;bWxQSwECLQAUAAYACAAAACEAOP0h/9YAAACUAQAACwAAAAAAAAAAAAAAAAAvAQAAX3JlbHMvLnJl&#10;bHNQSwECLQAUAAYACAAAACEAzryUv7IBAAC/AwAADgAAAAAAAAAAAAAAAAAuAgAAZHJzL2Uyb0Rv&#10;Yy54bWxQSwECLQAUAAYACAAAACEAIC346OAAAAAIAQAADwAAAAAAAAAAAAAAAAAMBAAAZHJzL2Rv&#10;d25yZXYueG1sUEsFBgAAAAAEAAQA8wAAABkFAAAAAA==&#10;" strokecolor="#4579b8 [3044]"/>
                  </w:pict>
                </mc:Fallback>
              </mc:AlternateContent>
            </w:r>
            <w:r w:rsidRPr="0085175D">
              <w:rPr>
                <w:rFonts w:ascii="Candara" w:eastAsia="Calibri" w:hAnsi="Candara" w:cs="Times New Roman"/>
                <w:sz w:val="18"/>
              </w:rPr>
              <w:t>Elaboró</w:t>
            </w:r>
          </w:p>
        </w:tc>
        <w:tc>
          <w:tcPr>
            <w:tcW w:w="4242" w:type="dxa"/>
          </w:tcPr>
          <w:p w:rsidR="00A4549E" w:rsidRPr="0085175D" w:rsidRDefault="00A4549E" w:rsidP="00A4549E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 w:rsidRPr="0085175D">
              <w:rPr>
                <w:rFonts w:ascii="Candara" w:eastAsia="Calibri" w:hAnsi="Candara" w:cs="Times New Roman"/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A6FC8F" wp14:editId="2D33EE9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438150</wp:posOffset>
                      </wp:positionV>
                      <wp:extent cx="1645920" cy="0"/>
                      <wp:effectExtent l="0" t="0" r="11430" b="1905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6910BAA"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34.5pt" to="129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a0sgEAAL8DAAAOAAAAZHJzL2Uyb0RvYy54bWysU02PEzEMvSPxH6Lc6cxUsIJRp3voCi4I&#10;Kj5+QDbjdCIlceSETvvvcdJ2FgESAnFJ4sTP9nt2Nvcn78QRKFkMg+xWrRQQNI42HAb59cvbF6+l&#10;SFmFUTkMMMgzJHm/ff5sM8ce1jihG4EEBwmpn+Mgp5xj3zRJT+BVWmGEwI8GyavMJh2akdTM0b1r&#10;1m1718xIYyTUkBLfPlwe5bbGNwZ0/mhMgizcILm2XFeq62NZm+1G9QdScbL6Wob6hyq8soGTLqEe&#10;VFbiG9lfQnmrCROavNLoGzTGaqgcmE3X/sTm86QiVC4sToqLTOn/hdUfjnsSduTeSRGU5xZ1Yset&#10;0hlJUNmKRnNMPbvuwp6uVop7KoRPhnzZmYo4VV3Pi65wykLzZXf38tWbNcuvb2/NEzBSyu8AvSiH&#10;QTobCmXVq+P7lDkZu95c2CiFXFLXUz47KM4ufALDNEqyiq4DBDtH4qi49UprCLkrVDhe9S4wY51b&#10;gO2fgVf/AoU6XH8DXhA1M4a8gL0NSL/Lnk+3ks3F/6bAhXeR4BHHc21KlYanpDK8TnQZwx/tCn/6&#10;d9vvAAAA//8DAFBLAwQUAAYACAAAACEAGvME5t8AAAAIAQAADwAAAGRycy9kb3ducmV2LnhtbEyP&#10;QU+DQBCF7yb+h82YeDHtUiINIkujJk0P2hiLP2DLjkBkZwm7UOqvd4wHvc3Me3nzvXwz205MOPjW&#10;kYLVMgKBVDnTUq3gvdwuUhA+aDK6c4QKzuhhU1xe5Doz7kRvOB1CLTiEfKYVNCH0mZS+atBqv3Q9&#10;EmsfbrA68DrU0gz6xOG2k3EUraXVLfGHRvf41GD1eRitgt32EZ+T81jfmmRX3kzly/7rNVXq+mp+&#10;uAcRcA5/ZvjBZ3QomOnoRjJedAoWq5idCtZ3XIn1OEl5OP4eZJHL/wWKbwAAAP//AwBQSwECLQAU&#10;AAYACAAAACEAtoM4kv4AAADhAQAAEwAAAAAAAAAAAAAAAAAAAAAAW0NvbnRlbnRfVHlwZXNdLnht&#10;bFBLAQItABQABgAIAAAAIQA4/SH/1gAAAJQBAAALAAAAAAAAAAAAAAAAAC8BAABfcmVscy8ucmVs&#10;c1BLAQItABQABgAIAAAAIQAOBwa0sgEAAL8DAAAOAAAAAAAAAAAAAAAAAC4CAABkcnMvZTJvRG9j&#10;LnhtbFBLAQItABQABgAIAAAAIQAa8wTm3wAAAAgBAAAPAAAAAAAAAAAAAAAAAAwEAABkcnMvZG93&#10;bnJldi54bWxQSwUGAAAAAAQABADzAAAAGAUAAAAA&#10;" strokecolor="#4579b8 [3044]"/>
                  </w:pict>
                </mc:Fallback>
              </mc:AlternateContent>
            </w:r>
            <w:r w:rsidRPr="0085175D">
              <w:rPr>
                <w:rFonts w:ascii="Candara" w:eastAsia="Calibri" w:hAnsi="Candara" w:cs="Times New Roman"/>
                <w:sz w:val="18"/>
              </w:rPr>
              <w:t>Supervisó</w:t>
            </w:r>
          </w:p>
        </w:tc>
        <w:tc>
          <w:tcPr>
            <w:tcW w:w="4242" w:type="dxa"/>
          </w:tcPr>
          <w:p w:rsidR="00A4549E" w:rsidRPr="0085175D" w:rsidRDefault="00A4549E" w:rsidP="00A4549E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 w:rsidRPr="0085175D">
              <w:rPr>
                <w:rFonts w:ascii="Candara" w:eastAsia="Calibri" w:hAnsi="Candara" w:cs="Times New Roman"/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55CFD5" wp14:editId="4312ED3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424815</wp:posOffset>
                      </wp:positionV>
                      <wp:extent cx="1638300" cy="0"/>
                      <wp:effectExtent l="0" t="0" r="19050" b="1905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9A9F137" id="2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33.45pt" to="127.8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71QsgEAAL8DAAAOAAAAZHJzL2Uyb0RvYy54bWysU02PGyEMvVfqf0Dcm5lkpdVqlMkesmov&#10;VRv14wewjMkgAUaGZib/voYks1VbqWrVC2Dws/2ezfZx9k6cgJLF0Mv1qpUCgsbBhmMvv355++ZB&#10;ipRVGJTDAL08Q5KPu9evtlPsYIMjugFIcJCQuin2csw5dk2T9AhepRVGCPxokLzKbNKxGUhNHN27&#10;ZtO2982ENERCDSnx7dPlUe5qfGNA54/GJMjC9ZJry3Wluj6XtdltVXckFUerr2Wof6jCKxs46RLq&#10;SWUlvpH9JZS3mjChySuNvkFjrIbKgdms25/YfB5VhMqFxUlxkSn9v7D6w+lAwg693EgRlOcWbcSe&#10;W6UzkqCyFY2mmDp23YcDXa0UD1QIz4Z82ZmKmKuu50VXmLPQfLm+v3u4a1l+fXtrXoCRUn4H6EU5&#10;9NLZUCirTp3ep8zJ2PXmwkYp5JK6nvLZQXF24RMYplGSVXQdINg7EifFrVdaQ8jrQoXjVe8CM9a5&#10;Bdj+GXj1L1Cow/U34AVRM2PIC9jbgPS77Hm+lWwu/jcFLryLBM84nGtTqjQ8JZXhdaLLGP5oV/jL&#10;v9t9BwAA//8DAFBLAwQUAAYACAAAACEADF5nhN8AAAAIAQAADwAAAGRycy9kb3ducmV2LnhtbEyP&#10;wU7DMBBE70j8g7VIXFDrEEgoIU4FSFUPgBANH+DGSxIRr6PYSVO+nkUc4Dg7o5m3+Xq2nZhw8K0j&#10;BZfLCARS5UxLtYL3crNYgfBBk9GdI1RwRA/r4vQk15lxB3rDaRdqwSXkM62gCaHPpPRVg1b7peuR&#10;2Ptwg9WB5VBLM+gDl9tOxlGUSqtb4oVG9/jYYPW5G62C7eYBn5LjWF+bZFteTOXzy9frSqnzs/n+&#10;DkTAOfyF4Qef0aFgpr0byXjRKVjEV5xUkKa3INiPk+QGxP73IItc/n+g+AYAAP//AwBQSwECLQAU&#10;AAYACAAAACEAtoM4kv4AAADhAQAAEwAAAAAAAAAAAAAAAAAAAAAAW0NvbnRlbnRfVHlwZXNdLnht&#10;bFBLAQItABQABgAIAAAAIQA4/SH/1gAAAJQBAAALAAAAAAAAAAAAAAAAAC8BAABfcmVscy8ucmVs&#10;c1BLAQItABQABgAIAAAAIQCPA71QsgEAAL8DAAAOAAAAAAAAAAAAAAAAAC4CAABkcnMvZTJvRG9j&#10;LnhtbFBLAQItABQABgAIAAAAIQAMXmeE3wAAAAgBAAAPAAAAAAAAAAAAAAAAAAwEAABkcnMvZG93&#10;bnJldi54bWxQSwUGAAAAAAQABADzAAAAGAUAAAAA&#10;" strokecolor="#4579b8 [3044]"/>
                  </w:pict>
                </mc:Fallback>
              </mc:AlternateContent>
            </w:r>
            <w:r w:rsidRPr="0085175D">
              <w:rPr>
                <w:rFonts w:ascii="Candara" w:eastAsia="Calibri" w:hAnsi="Candara" w:cs="Times New Roman"/>
                <w:sz w:val="18"/>
              </w:rPr>
              <w:t>Autorizó</w:t>
            </w:r>
          </w:p>
        </w:tc>
      </w:tr>
      <w:tr w:rsidR="00A4549E" w:rsidRPr="0085175D" w:rsidTr="00A4549E">
        <w:trPr>
          <w:trHeight w:val="127"/>
          <w:jc w:val="right"/>
        </w:trPr>
        <w:tc>
          <w:tcPr>
            <w:tcW w:w="4241" w:type="dxa"/>
          </w:tcPr>
          <w:p w:rsidR="00A4549E" w:rsidRDefault="00A4549E" w:rsidP="00A4549E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>
              <w:rPr>
                <w:rFonts w:ascii="Candara" w:eastAsia="Calibri" w:hAnsi="Candara" w:cs="Times New Roman"/>
                <w:sz w:val="18"/>
              </w:rPr>
              <w:t>Lic. Thomas Aguilar Mendoza</w:t>
            </w:r>
          </w:p>
          <w:p w:rsidR="00A4549E" w:rsidRPr="0085175D" w:rsidRDefault="00A4549E" w:rsidP="00A4549E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>
              <w:rPr>
                <w:rFonts w:ascii="Candara" w:eastAsia="Calibri" w:hAnsi="Candara" w:cs="Times New Roman"/>
                <w:sz w:val="18"/>
              </w:rPr>
              <w:t>Jefe del Departamento de Quejas y Denuncias</w:t>
            </w:r>
          </w:p>
        </w:tc>
        <w:tc>
          <w:tcPr>
            <w:tcW w:w="4242" w:type="dxa"/>
          </w:tcPr>
          <w:p w:rsidR="00A4549E" w:rsidRDefault="00A4549E" w:rsidP="00A4549E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 w:rsidRPr="0085175D">
              <w:rPr>
                <w:rFonts w:ascii="Candara" w:eastAsia="Calibri" w:hAnsi="Candara" w:cs="Times New Roman"/>
                <w:sz w:val="18"/>
              </w:rPr>
              <w:t>Lic. Lucila Martínez Altamirano</w:t>
            </w:r>
          </w:p>
          <w:p w:rsidR="00A4549E" w:rsidRPr="0085175D" w:rsidRDefault="00A4549E" w:rsidP="00A4549E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>
              <w:rPr>
                <w:rFonts w:ascii="Candara" w:eastAsia="Calibri" w:hAnsi="Candara" w:cs="Times New Roman"/>
                <w:sz w:val="18"/>
              </w:rPr>
              <w:t>Sub Directora Jurídica</w:t>
            </w:r>
          </w:p>
        </w:tc>
        <w:tc>
          <w:tcPr>
            <w:tcW w:w="4242" w:type="dxa"/>
          </w:tcPr>
          <w:p w:rsidR="00A4549E" w:rsidRDefault="00A4549E" w:rsidP="00A4549E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 w:rsidRPr="0085175D">
              <w:rPr>
                <w:rFonts w:ascii="Candara" w:eastAsia="Calibri" w:hAnsi="Candara" w:cs="Times New Roman"/>
                <w:sz w:val="18"/>
              </w:rPr>
              <w:t>Lic. Ricardo Dorantes Jiménez</w:t>
            </w:r>
          </w:p>
          <w:p w:rsidR="00A4549E" w:rsidRPr="0085175D" w:rsidRDefault="00A4549E" w:rsidP="00A4549E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>
              <w:rPr>
                <w:rFonts w:ascii="Candara" w:eastAsia="Calibri" w:hAnsi="Candara" w:cs="Times New Roman"/>
                <w:sz w:val="18"/>
              </w:rPr>
              <w:t>Director de Asuntos Jurídicos</w:t>
            </w:r>
          </w:p>
        </w:tc>
      </w:tr>
      <w:tr w:rsidR="00C94CA3" w:rsidRPr="00461732" w:rsidTr="00A4549E">
        <w:trPr>
          <w:trHeight w:val="709"/>
          <w:jc w:val="right"/>
        </w:trPr>
        <w:tc>
          <w:tcPr>
            <w:tcW w:w="4241" w:type="dxa"/>
          </w:tcPr>
          <w:p w:rsidR="00C94CA3" w:rsidRPr="00461732" w:rsidRDefault="00C94CA3" w:rsidP="00A4549E">
            <w:pPr>
              <w:jc w:val="both"/>
              <w:rPr>
                <w:rFonts w:ascii="Calibri Light" w:eastAsia="Calibri" w:hAnsi="Calibri Light" w:cs="Times New Roman"/>
                <w:sz w:val="18"/>
              </w:rPr>
            </w:pPr>
          </w:p>
        </w:tc>
        <w:tc>
          <w:tcPr>
            <w:tcW w:w="4242" w:type="dxa"/>
          </w:tcPr>
          <w:p w:rsidR="00C94CA3" w:rsidRPr="00461732" w:rsidRDefault="00C94CA3" w:rsidP="00A4549E">
            <w:pPr>
              <w:jc w:val="both"/>
              <w:rPr>
                <w:rFonts w:ascii="Calibri Light" w:eastAsia="Calibri" w:hAnsi="Calibri Light" w:cs="Times New Roman"/>
                <w:sz w:val="18"/>
              </w:rPr>
            </w:pPr>
          </w:p>
        </w:tc>
        <w:tc>
          <w:tcPr>
            <w:tcW w:w="4242" w:type="dxa"/>
            <w:hideMark/>
          </w:tcPr>
          <w:p w:rsidR="00C94CA3" w:rsidRPr="00461732" w:rsidRDefault="00C94CA3" w:rsidP="00A4549E">
            <w:pPr>
              <w:jc w:val="both"/>
              <w:rPr>
                <w:rFonts w:ascii="Calibri Light" w:eastAsia="Calibri" w:hAnsi="Calibri Light" w:cs="Times New Roman"/>
                <w:sz w:val="18"/>
              </w:rPr>
            </w:pPr>
          </w:p>
        </w:tc>
      </w:tr>
      <w:tr w:rsidR="00C94CA3" w:rsidRPr="00461732" w:rsidTr="00A4549E">
        <w:trPr>
          <w:trHeight w:val="185"/>
          <w:jc w:val="right"/>
        </w:trPr>
        <w:tc>
          <w:tcPr>
            <w:tcW w:w="4241" w:type="dxa"/>
          </w:tcPr>
          <w:p w:rsidR="00C94CA3" w:rsidRPr="00461732" w:rsidRDefault="00C94CA3" w:rsidP="00A4549E">
            <w:pPr>
              <w:jc w:val="both"/>
              <w:rPr>
                <w:rFonts w:ascii="Calibri Light" w:eastAsia="Calibri" w:hAnsi="Calibri Light" w:cs="Times New Roman"/>
                <w:sz w:val="18"/>
              </w:rPr>
            </w:pPr>
          </w:p>
        </w:tc>
        <w:tc>
          <w:tcPr>
            <w:tcW w:w="4242" w:type="dxa"/>
          </w:tcPr>
          <w:p w:rsidR="00C94CA3" w:rsidRPr="00461732" w:rsidRDefault="00C94CA3" w:rsidP="00A4549E">
            <w:pPr>
              <w:jc w:val="both"/>
              <w:rPr>
                <w:rFonts w:ascii="Calibri Light" w:eastAsia="Calibri" w:hAnsi="Calibri Light" w:cs="Times New Roman"/>
                <w:sz w:val="18"/>
              </w:rPr>
            </w:pPr>
          </w:p>
        </w:tc>
        <w:tc>
          <w:tcPr>
            <w:tcW w:w="4242" w:type="dxa"/>
            <w:hideMark/>
          </w:tcPr>
          <w:p w:rsidR="00C94CA3" w:rsidRPr="00461732" w:rsidRDefault="00C94CA3" w:rsidP="00A4549E">
            <w:pPr>
              <w:jc w:val="both"/>
              <w:rPr>
                <w:rFonts w:ascii="Calibri Light" w:eastAsia="Calibri" w:hAnsi="Calibri Light" w:cs="Times New Roman"/>
                <w:sz w:val="18"/>
              </w:rPr>
            </w:pPr>
          </w:p>
        </w:tc>
      </w:tr>
    </w:tbl>
    <w:p w:rsidR="00A4549E" w:rsidRPr="00B610B0" w:rsidRDefault="00A4549E" w:rsidP="00A4549E">
      <w:pPr>
        <w:jc w:val="both"/>
        <w:rPr>
          <w:rFonts w:ascii="Candara" w:hAnsi="Candara"/>
          <w:sz w:val="18"/>
        </w:rPr>
      </w:pPr>
      <w:r>
        <w:rPr>
          <w:rFonts w:ascii="Candara" w:eastAsia="Calibri" w:hAnsi="Candara" w:cs="Times New Roman"/>
          <w:sz w:val="18"/>
        </w:rPr>
        <w:t xml:space="preserve">NOTA: </w:t>
      </w:r>
      <w:r w:rsidRPr="0085175D">
        <w:rPr>
          <w:rFonts w:ascii="Candara" w:eastAsia="Calibri" w:hAnsi="Candara" w:cs="Times New Roman"/>
          <w:sz w:val="18"/>
        </w:rPr>
        <w:t>La validación de la  presente  tabla de</w:t>
      </w:r>
      <w:r w:rsidRPr="0085175D">
        <w:rPr>
          <w:rFonts w:ascii="Candara" w:hAnsi="Candara"/>
          <w:sz w:val="18"/>
        </w:rPr>
        <w:t xml:space="preserve"> aplicabilidad</w:t>
      </w:r>
      <w:r w:rsidRPr="0085175D">
        <w:rPr>
          <w:rFonts w:ascii="Candara" w:eastAsia="Calibri" w:hAnsi="Candara" w:cs="Times New Roman"/>
          <w:sz w:val="18"/>
        </w:rPr>
        <w:t xml:space="preserve"> es susceptible de modifica</w:t>
      </w:r>
      <w:r>
        <w:rPr>
          <w:rFonts w:ascii="Candara" w:eastAsia="Calibri" w:hAnsi="Candara" w:cs="Times New Roman"/>
          <w:sz w:val="18"/>
        </w:rPr>
        <w:t>ción</w:t>
      </w:r>
      <w:r w:rsidRPr="0085175D">
        <w:rPr>
          <w:rFonts w:ascii="Candara" w:eastAsia="Calibri" w:hAnsi="Candara" w:cs="Times New Roman"/>
          <w:sz w:val="18"/>
        </w:rPr>
        <w:t xml:space="preserve"> </w:t>
      </w:r>
      <w:r>
        <w:rPr>
          <w:rFonts w:ascii="Candara" w:eastAsia="Calibri" w:hAnsi="Candara" w:cs="Times New Roman"/>
          <w:sz w:val="18"/>
        </w:rPr>
        <w:t>por el Consejo General</w:t>
      </w:r>
      <w:r w:rsidRPr="0085175D">
        <w:rPr>
          <w:rFonts w:ascii="Candara" w:eastAsia="Calibri" w:hAnsi="Candara" w:cs="Times New Roman"/>
          <w:sz w:val="18"/>
        </w:rPr>
        <w:t xml:space="preserve"> de este Órgano Garante con base en </w:t>
      </w:r>
      <w:r>
        <w:rPr>
          <w:rFonts w:ascii="Candara" w:eastAsia="Calibri" w:hAnsi="Candara" w:cs="Times New Roman"/>
          <w:sz w:val="18"/>
        </w:rPr>
        <w:t>las disposiciones legales aplicables</w:t>
      </w:r>
      <w:r w:rsidRPr="0085175D">
        <w:rPr>
          <w:rFonts w:ascii="Candara" w:eastAsia="Calibri" w:hAnsi="Candara" w:cs="Times New Roman"/>
          <w:sz w:val="18"/>
        </w:rPr>
        <w:t xml:space="preserve">. </w:t>
      </w:r>
      <w:r w:rsidRPr="0085175D">
        <w:rPr>
          <w:rFonts w:ascii="Candara" w:hAnsi="Candara"/>
          <w:sz w:val="18"/>
        </w:rPr>
        <w:t xml:space="preserve">Oaxaca de Juárez, Oaxaca, </w:t>
      </w:r>
      <w:r w:rsidR="003C21E8">
        <w:rPr>
          <w:rFonts w:ascii="Candara" w:hAnsi="Candara"/>
          <w:sz w:val="18"/>
        </w:rPr>
        <w:t>m</w:t>
      </w:r>
      <w:r w:rsidR="006A42FD">
        <w:rPr>
          <w:rFonts w:ascii="Candara" w:hAnsi="Candara"/>
          <w:sz w:val="18"/>
        </w:rPr>
        <w:t xml:space="preserve">ayo 14 </w:t>
      </w:r>
      <w:r>
        <w:rPr>
          <w:rFonts w:ascii="Candara" w:hAnsi="Candara"/>
          <w:sz w:val="18"/>
        </w:rPr>
        <w:t>de 2018.</w:t>
      </w:r>
    </w:p>
    <w:sectPr w:rsidR="00A4549E" w:rsidRPr="00B610B0" w:rsidSect="00166C6D">
      <w:headerReference w:type="default" r:id="rId9"/>
      <w:footerReference w:type="default" r:id="rId10"/>
      <w:pgSz w:w="15840" w:h="12240" w:orient="landscape"/>
      <w:pgMar w:top="1276" w:right="720" w:bottom="720" w:left="720" w:header="708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99" w:rsidRDefault="00044E99" w:rsidP="00EB2BF3">
      <w:pPr>
        <w:spacing w:after="0" w:line="240" w:lineRule="auto"/>
      </w:pPr>
      <w:r>
        <w:separator/>
      </w:r>
    </w:p>
  </w:endnote>
  <w:endnote w:type="continuationSeparator" w:id="0">
    <w:p w:rsidR="00044E99" w:rsidRDefault="00044E99" w:rsidP="00E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103550391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C21E8" w:rsidRPr="003C21E8" w:rsidRDefault="003C21E8">
            <w:pPr>
              <w:pStyle w:val="Piedepgina"/>
              <w:jc w:val="right"/>
              <w:rPr>
                <w:sz w:val="18"/>
              </w:rPr>
            </w:pPr>
            <w:r w:rsidRPr="003C21E8">
              <w:rPr>
                <w:sz w:val="18"/>
                <w:lang w:val="es-ES"/>
              </w:rPr>
              <w:t xml:space="preserve">Página </w:t>
            </w:r>
            <w:r w:rsidRPr="003C21E8">
              <w:rPr>
                <w:b/>
                <w:bCs/>
                <w:sz w:val="20"/>
                <w:szCs w:val="24"/>
              </w:rPr>
              <w:fldChar w:fldCharType="begin"/>
            </w:r>
            <w:r w:rsidRPr="003C21E8">
              <w:rPr>
                <w:b/>
                <w:bCs/>
                <w:sz w:val="18"/>
              </w:rPr>
              <w:instrText>PAGE</w:instrText>
            </w:r>
            <w:r w:rsidRPr="003C21E8">
              <w:rPr>
                <w:b/>
                <w:bCs/>
                <w:sz w:val="20"/>
                <w:szCs w:val="24"/>
              </w:rPr>
              <w:fldChar w:fldCharType="separate"/>
            </w:r>
            <w:r w:rsidR="0091747E">
              <w:rPr>
                <w:b/>
                <w:bCs/>
                <w:noProof/>
                <w:sz w:val="18"/>
              </w:rPr>
              <w:t>8</w:t>
            </w:r>
            <w:r w:rsidRPr="003C21E8">
              <w:rPr>
                <w:b/>
                <w:bCs/>
                <w:sz w:val="20"/>
                <w:szCs w:val="24"/>
              </w:rPr>
              <w:fldChar w:fldCharType="end"/>
            </w:r>
            <w:r w:rsidRPr="003C21E8">
              <w:rPr>
                <w:sz w:val="18"/>
                <w:lang w:val="es-ES"/>
              </w:rPr>
              <w:t xml:space="preserve"> de </w:t>
            </w:r>
            <w:r w:rsidRPr="003C21E8">
              <w:rPr>
                <w:b/>
                <w:bCs/>
                <w:sz w:val="20"/>
                <w:szCs w:val="24"/>
              </w:rPr>
              <w:fldChar w:fldCharType="begin"/>
            </w:r>
            <w:r w:rsidRPr="003C21E8">
              <w:rPr>
                <w:b/>
                <w:bCs/>
                <w:sz w:val="18"/>
              </w:rPr>
              <w:instrText>NUMPAGES</w:instrText>
            </w:r>
            <w:r w:rsidRPr="003C21E8">
              <w:rPr>
                <w:b/>
                <w:bCs/>
                <w:sz w:val="20"/>
                <w:szCs w:val="24"/>
              </w:rPr>
              <w:fldChar w:fldCharType="separate"/>
            </w:r>
            <w:r w:rsidR="0091747E">
              <w:rPr>
                <w:b/>
                <w:bCs/>
                <w:noProof/>
                <w:sz w:val="18"/>
              </w:rPr>
              <w:t>10</w:t>
            </w:r>
            <w:r w:rsidRPr="003C21E8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6D7632" w:rsidRDefault="006D76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99" w:rsidRDefault="00044E99" w:rsidP="00EB2BF3">
      <w:pPr>
        <w:spacing w:after="0" w:line="240" w:lineRule="auto"/>
      </w:pPr>
      <w:r>
        <w:separator/>
      </w:r>
    </w:p>
  </w:footnote>
  <w:footnote w:type="continuationSeparator" w:id="0">
    <w:p w:rsidR="00044E99" w:rsidRDefault="00044E99" w:rsidP="00E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632" w:rsidRDefault="006D7632">
    <w:pPr>
      <w:pStyle w:val="Encabezado"/>
    </w:pPr>
  </w:p>
  <w:p w:rsidR="006D7632" w:rsidRDefault="006D76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7FC2"/>
    <w:multiLevelType w:val="hybridMultilevel"/>
    <w:tmpl w:val="678E362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90764"/>
    <w:multiLevelType w:val="hybridMultilevel"/>
    <w:tmpl w:val="8D2A1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C7F9B"/>
    <w:multiLevelType w:val="hybridMultilevel"/>
    <w:tmpl w:val="678E362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C1554"/>
    <w:multiLevelType w:val="hybridMultilevel"/>
    <w:tmpl w:val="12CEF0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04"/>
    <w:rsid w:val="000023D8"/>
    <w:rsid w:val="00013DAE"/>
    <w:rsid w:val="00013DC3"/>
    <w:rsid w:val="00020E33"/>
    <w:rsid w:val="0003667C"/>
    <w:rsid w:val="00040E3E"/>
    <w:rsid w:val="00043FEB"/>
    <w:rsid w:val="00044E99"/>
    <w:rsid w:val="00045A4B"/>
    <w:rsid w:val="000475C1"/>
    <w:rsid w:val="0006354A"/>
    <w:rsid w:val="00071D8D"/>
    <w:rsid w:val="000724DC"/>
    <w:rsid w:val="000774D7"/>
    <w:rsid w:val="00081FAB"/>
    <w:rsid w:val="000826F1"/>
    <w:rsid w:val="000A4CD0"/>
    <w:rsid w:val="000A57A9"/>
    <w:rsid w:val="000A6A97"/>
    <w:rsid w:val="000C3207"/>
    <w:rsid w:val="000C76E3"/>
    <w:rsid w:val="000E0289"/>
    <w:rsid w:val="000E564D"/>
    <w:rsid w:val="000E5F25"/>
    <w:rsid w:val="000E7563"/>
    <w:rsid w:val="000F02B3"/>
    <w:rsid w:val="000F3E4C"/>
    <w:rsid w:val="000F7861"/>
    <w:rsid w:val="001053A5"/>
    <w:rsid w:val="001250BD"/>
    <w:rsid w:val="00127BA4"/>
    <w:rsid w:val="001301D3"/>
    <w:rsid w:val="0013410F"/>
    <w:rsid w:val="00143529"/>
    <w:rsid w:val="001464CF"/>
    <w:rsid w:val="00156361"/>
    <w:rsid w:val="0016057C"/>
    <w:rsid w:val="00162198"/>
    <w:rsid w:val="00164E92"/>
    <w:rsid w:val="00164F60"/>
    <w:rsid w:val="00166C6D"/>
    <w:rsid w:val="001751E9"/>
    <w:rsid w:val="001A0126"/>
    <w:rsid w:val="001A5308"/>
    <w:rsid w:val="001B1A08"/>
    <w:rsid w:val="001B574C"/>
    <w:rsid w:val="001B73FD"/>
    <w:rsid w:val="001C2A7A"/>
    <w:rsid w:val="001C564C"/>
    <w:rsid w:val="001C5AD5"/>
    <w:rsid w:val="001D71C3"/>
    <w:rsid w:val="00207854"/>
    <w:rsid w:val="0021012C"/>
    <w:rsid w:val="00223BF5"/>
    <w:rsid w:val="00227853"/>
    <w:rsid w:val="00235B6C"/>
    <w:rsid w:val="00242019"/>
    <w:rsid w:val="0024344B"/>
    <w:rsid w:val="00251753"/>
    <w:rsid w:val="00252ADA"/>
    <w:rsid w:val="00260CE5"/>
    <w:rsid w:val="00262D08"/>
    <w:rsid w:val="0028096A"/>
    <w:rsid w:val="00282044"/>
    <w:rsid w:val="0028233D"/>
    <w:rsid w:val="00283515"/>
    <w:rsid w:val="002838AD"/>
    <w:rsid w:val="00297A36"/>
    <w:rsid w:val="002A1093"/>
    <w:rsid w:val="002A4E88"/>
    <w:rsid w:val="002C4927"/>
    <w:rsid w:val="002D1C17"/>
    <w:rsid w:val="002F30F9"/>
    <w:rsid w:val="002F34FF"/>
    <w:rsid w:val="003133B9"/>
    <w:rsid w:val="003160F4"/>
    <w:rsid w:val="00334379"/>
    <w:rsid w:val="0034728F"/>
    <w:rsid w:val="00351FC7"/>
    <w:rsid w:val="0035573C"/>
    <w:rsid w:val="00370701"/>
    <w:rsid w:val="003856C5"/>
    <w:rsid w:val="003909AD"/>
    <w:rsid w:val="0039534F"/>
    <w:rsid w:val="003A05EC"/>
    <w:rsid w:val="003B692A"/>
    <w:rsid w:val="003C1ED5"/>
    <w:rsid w:val="003C21E8"/>
    <w:rsid w:val="003C3C43"/>
    <w:rsid w:val="003C762E"/>
    <w:rsid w:val="003D7502"/>
    <w:rsid w:val="003E13B0"/>
    <w:rsid w:val="003E6E63"/>
    <w:rsid w:val="003F3DC0"/>
    <w:rsid w:val="00402B7E"/>
    <w:rsid w:val="004056E2"/>
    <w:rsid w:val="00415858"/>
    <w:rsid w:val="0042446D"/>
    <w:rsid w:val="004244B8"/>
    <w:rsid w:val="0043581C"/>
    <w:rsid w:val="00444FF4"/>
    <w:rsid w:val="00445EBB"/>
    <w:rsid w:val="00451310"/>
    <w:rsid w:val="00452FB5"/>
    <w:rsid w:val="00455D6B"/>
    <w:rsid w:val="0046056C"/>
    <w:rsid w:val="00465309"/>
    <w:rsid w:val="004709EB"/>
    <w:rsid w:val="00470DBA"/>
    <w:rsid w:val="00473B22"/>
    <w:rsid w:val="00475B42"/>
    <w:rsid w:val="004973C4"/>
    <w:rsid w:val="004A59DF"/>
    <w:rsid w:val="004A77C3"/>
    <w:rsid w:val="004B1C35"/>
    <w:rsid w:val="004B23D1"/>
    <w:rsid w:val="004C7BD3"/>
    <w:rsid w:val="004D0CF7"/>
    <w:rsid w:val="004D1952"/>
    <w:rsid w:val="004E2E12"/>
    <w:rsid w:val="004E7CD1"/>
    <w:rsid w:val="004F08BD"/>
    <w:rsid w:val="00535D22"/>
    <w:rsid w:val="005802B4"/>
    <w:rsid w:val="0058425F"/>
    <w:rsid w:val="00586D04"/>
    <w:rsid w:val="0059150D"/>
    <w:rsid w:val="00592A04"/>
    <w:rsid w:val="0059647F"/>
    <w:rsid w:val="00597D60"/>
    <w:rsid w:val="005A5133"/>
    <w:rsid w:val="005B619B"/>
    <w:rsid w:val="005C35D9"/>
    <w:rsid w:val="005C4CCA"/>
    <w:rsid w:val="005C51F0"/>
    <w:rsid w:val="005C6237"/>
    <w:rsid w:val="005C65DD"/>
    <w:rsid w:val="005D5ACD"/>
    <w:rsid w:val="005F0CA3"/>
    <w:rsid w:val="005F6095"/>
    <w:rsid w:val="005F641F"/>
    <w:rsid w:val="005F77AE"/>
    <w:rsid w:val="006028A3"/>
    <w:rsid w:val="0060302D"/>
    <w:rsid w:val="00623FE5"/>
    <w:rsid w:val="00626ABE"/>
    <w:rsid w:val="00630490"/>
    <w:rsid w:val="00631E99"/>
    <w:rsid w:val="00634BAF"/>
    <w:rsid w:val="00636C45"/>
    <w:rsid w:val="00643DFB"/>
    <w:rsid w:val="006440B7"/>
    <w:rsid w:val="00645881"/>
    <w:rsid w:val="006571CF"/>
    <w:rsid w:val="00657231"/>
    <w:rsid w:val="00660035"/>
    <w:rsid w:val="00665DAD"/>
    <w:rsid w:val="00670199"/>
    <w:rsid w:val="0067334D"/>
    <w:rsid w:val="00676CB5"/>
    <w:rsid w:val="006827B6"/>
    <w:rsid w:val="00691467"/>
    <w:rsid w:val="006939A1"/>
    <w:rsid w:val="006952DC"/>
    <w:rsid w:val="006A42FD"/>
    <w:rsid w:val="006A7BCE"/>
    <w:rsid w:val="006B2898"/>
    <w:rsid w:val="006B3889"/>
    <w:rsid w:val="006B43BF"/>
    <w:rsid w:val="006D1544"/>
    <w:rsid w:val="006D21EB"/>
    <w:rsid w:val="006D6BB6"/>
    <w:rsid w:val="006D7632"/>
    <w:rsid w:val="006E5DE3"/>
    <w:rsid w:val="006E7E5C"/>
    <w:rsid w:val="007132B1"/>
    <w:rsid w:val="00713688"/>
    <w:rsid w:val="00716A82"/>
    <w:rsid w:val="0071791C"/>
    <w:rsid w:val="0073060E"/>
    <w:rsid w:val="00730A2C"/>
    <w:rsid w:val="00737DE1"/>
    <w:rsid w:val="00750F25"/>
    <w:rsid w:val="00753598"/>
    <w:rsid w:val="007633D0"/>
    <w:rsid w:val="0077488C"/>
    <w:rsid w:val="00792DEE"/>
    <w:rsid w:val="00796969"/>
    <w:rsid w:val="007A0690"/>
    <w:rsid w:val="007A2538"/>
    <w:rsid w:val="007B61FD"/>
    <w:rsid w:val="007C3DDF"/>
    <w:rsid w:val="007E32FE"/>
    <w:rsid w:val="007F38FF"/>
    <w:rsid w:val="007F409A"/>
    <w:rsid w:val="007F601D"/>
    <w:rsid w:val="008077AA"/>
    <w:rsid w:val="00807F43"/>
    <w:rsid w:val="00822897"/>
    <w:rsid w:val="00833AD9"/>
    <w:rsid w:val="0083417F"/>
    <w:rsid w:val="008348F5"/>
    <w:rsid w:val="00834EE3"/>
    <w:rsid w:val="008363B4"/>
    <w:rsid w:val="008375A5"/>
    <w:rsid w:val="00840818"/>
    <w:rsid w:val="008417E9"/>
    <w:rsid w:val="008450C8"/>
    <w:rsid w:val="00847EE1"/>
    <w:rsid w:val="00850E48"/>
    <w:rsid w:val="0085175D"/>
    <w:rsid w:val="00853BF0"/>
    <w:rsid w:val="0086030A"/>
    <w:rsid w:val="00860BAA"/>
    <w:rsid w:val="0086267C"/>
    <w:rsid w:val="00864F79"/>
    <w:rsid w:val="0086610C"/>
    <w:rsid w:val="0087100B"/>
    <w:rsid w:val="008764BC"/>
    <w:rsid w:val="008776BB"/>
    <w:rsid w:val="00893F23"/>
    <w:rsid w:val="0089459E"/>
    <w:rsid w:val="008975A3"/>
    <w:rsid w:val="008A5A4F"/>
    <w:rsid w:val="008D1F48"/>
    <w:rsid w:val="008E3180"/>
    <w:rsid w:val="008E41C4"/>
    <w:rsid w:val="009044F0"/>
    <w:rsid w:val="00910F25"/>
    <w:rsid w:val="009152D1"/>
    <w:rsid w:val="00916A94"/>
    <w:rsid w:val="0091747E"/>
    <w:rsid w:val="00927005"/>
    <w:rsid w:val="00932A97"/>
    <w:rsid w:val="009332D7"/>
    <w:rsid w:val="009351F6"/>
    <w:rsid w:val="00942EEC"/>
    <w:rsid w:val="00950D6A"/>
    <w:rsid w:val="00960BE1"/>
    <w:rsid w:val="00961EF6"/>
    <w:rsid w:val="00963B38"/>
    <w:rsid w:val="0096701E"/>
    <w:rsid w:val="009755D6"/>
    <w:rsid w:val="00984D4C"/>
    <w:rsid w:val="0099078E"/>
    <w:rsid w:val="009936C2"/>
    <w:rsid w:val="00996ABD"/>
    <w:rsid w:val="009974A3"/>
    <w:rsid w:val="009975EF"/>
    <w:rsid w:val="009A0B8A"/>
    <w:rsid w:val="009A63D8"/>
    <w:rsid w:val="009B30B4"/>
    <w:rsid w:val="009C7D25"/>
    <w:rsid w:val="009D52BA"/>
    <w:rsid w:val="009D668B"/>
    <w:rsid w:val="009D6F9E"/>
    <w:rsid w:val="009E3357"/>
    <w:rsid w:val="00A21B57"/>
    <w:rsid w:val="00A35D2A"/>
    <w:rsid w:val="00A418BC"/>
    <w:rsid w:val="00A4549E"/>
    <w:rsid w:val="00A45F50"/>
    <w:rsid w:val="00A477F6"/>
    <w:rsid w:val="00A47A37"/>
    <w:rsid w:val="00A647AD"/>
    <w:rsid w:val="00A74143"/>
    <w:rsid w:val="00A7781B"/>
    <w:rsid w:val="00A81766"/>
    <w:rsid w:val="00A84739"/>
    <w:rsid w:val="00A902C8"/>
    <w:rsid w:val="00A943E0"/>
    <w:rsid w:val="00AA0D16"/>
    <w:rsid w:val="00AC7CE1"/>
    <w:rsid w:val="00AE3C40"/>
    <w:rsid w:val="00AF43A7"/>
    <w:rsid w:val="00B06DF9"/>
    <w:rsid w:val="00B148A2"/>
    <w:rsid w:val="00B20910"/>
    <w:rsid w:val="00B21CC7"/>
    <w:rsid w:val="00B252AA"/>
    <w:rsid w:val="00B253C4"/>
    <w:rsid w:val="00B2732B"/>
    <w:rsid w:val="00B30527"/>
    <w:rsid w:val="00B33BDB"/>
    <w:rsid w:val="00B364CD"/>
    <w:rsid w:val="00B55C32"/>
    <w:rsid w:val="00B67A71"/>
    <w:rsid w:val="00B7736A"/>
    <w:rsid w:val="00B8455F"/>
    <w:rsid w:val="00B9094A"/>
    <w:rsid w:val="00B91770"/>
    <w:rsid w:val="00B91859"/>
    <w:rsid w:val="00BA0D2C"/>
    <w:rsid w:val="00BA2D80"/>
    <w:rsid w:val="00BA5B0B"/>
    <w:rsid w:val="00BA6080"/>
    <w:rsid w:val="00BC1ABB"/>
    <w:rsid w:val="00BC2BA0"/>
    <w:rsid w:val="00BC618B"/>
    <w:rsid w:val="00BD1D68"/>
    <w:rsid w:val="00BE4B9B"/>
    <w:rsid w:val="00BF14A7"/>
    <w:rsid w:val="00C17A9E"/>
    <w:rsid w:val="00C23B58"/>
    <w:rsid w:val="00C36307"/>
    <w:rsid w:val="00C374E4"/>
    <w:rsid w:val="00C37C34"/>
    <w:rsid w:val="00C56340"/>
    <w:rsid w:val="00C66DDE"/>
    <w:rsid w:val="00C75180"/>
    <w:rsid w:val="00C7675D"/>
    <w:rsid w:val="00C8161B"/>
    <w:rsid w:val="00C83B9D"/>
    <w:rsid w:val="00C86EAF"/>
    <w:rsid w:val="00C935B4"/>
    <w:rsid w:val="00C94CA3"/>
    <w:rsid w:val="00C97240"/>
    <w:rsid w:val="00CA02AF"/>
    <w:rsid w:val="00CB1052"/>
    <w:rsid w:val="00CB644E"/>
    <w:rsid w:val="00CE092E"/>
    <w:rsid w:val="00CE53E4"/>
    <w:rsid w:val="00CE6958"/>
    <w:rsid w:val="00CE7CB8"/>
    <w:rsid w:val="00CF0484"/>
    <w:rsid w:val="00D00934"/>
    <w:rsid w:val="00D026C2"/>
    <w:rsid w:val="00D0792D"/>
    <w:rsid w:val="00D13CD6"/>
    <w:rsid w:val="00D13D02"/>
    <w:rsid w:val="00D24566"/>
    <w:rsid w:val="00D30671"/>
    <w:rsid w:val="00D44517"/>
    <w:rsid w:val="00D458ED"/>
    <w:rsid w:val="00D45FBC"/>
    <w:rsid w:val="00D57F9C"/>
    <w:rsid w:val="00D60ABE"/>
    <w:rsid w:val="00D658F3"/>
    <w:rsid w:val="00D70A05"/>
    <w:rsid w:val="00D840AC"/>
    <w:rsid w:val="00D86FAC"/>
    <w:rsid w:val="00D93F36"/>
    <w:rsid w:val="00D9758B"/>
    <w:rsid w:val="00DE1B44"/>
    <w:rsid w:val="00DE2A64"/>
    <w:rsid w:val="00DE4040"/>
    <w:rsid w:val="00DE5DEA"/>
    <w:rsid w:val="00DE7FF4"/>
    <w:rsid w:val="00DF2BB3"/>
    <w:rsid w:val="00DF7DA7"/>
    <w:rsid w:val="00E029AA"/>
    <w:rsid w:val="00E02B6E"/>
    <w:rsid w:val="00E07D5E"/>
    <w:rsid w:val="00E20284"/>
    <w:rsid w:val="00E22F91"/>
    <w:rsid w:val="00E3603D"/>
    <w:rsid w:val="00E4243D"/>
    <w:rsid w:val="00E44274"/>
    <w:rsid w:val="00E45A94"/>
    <w:rsid w:val="00E62FC5"/>
    <w:rsid w:val="00E65927"/>
    <w:rsid w:val="00E70EA3"/>
    <w:rsid w:val="00E73A48"/>
    <w:rsid w:val="00E754D2"/>
    <w:rsid w:val="00E774C4"/>
    <w:rsid w:val="00E8683F"/>
    <w:rsid w:val="00E9431B"/>
    <w:rsid w:val="00E95812"/>
    <w:rsid w:val="00EA17DD"/>
    <w:rsid w:val="00EA2CA6"/>
    <w:rsid w:val="00EA3E19"/>
    <w:rsid w:val="00EA4E80"/>
    <w:rsid w:val="00EA5415"/>
    <w:rsid w:val="00EB1E59"/>
    <w:rsid w:val="00EB2BF3"/>
    <w:rsid w:val="00EC64F3"/>
    <w:rsid w:val="00ED137B"/>
    <w:rsid w:val="00ED3D7C"/>
    <w:rsid w:val="00EE6885"/>
    <w:rsid w:val="00EF18D2"/>
    <w:rsid w:val="00EF1F0E"/>
    <w:rsid w:val="00EF63A2"/>
    <w:rsid w:val="00EF73A0"/>
    <w:rsid w:val="00F014F6"/>
    <w:rsid w:val="00F021E7"/>
    <w:rsid w:val="00F07324"/>
    <w:rsid w:val="00F16769"/>
    <w:rsid w:val="00F23B84"/>
    <w:rsid w:val="00F24DB9"/>
    <w:rsid w:val="00F3062F"/>
    <w:rsid w:val="00F53E0C"/>
    <w:rsid w:val="00F5748E"/>
    <w:rsid w:val="00F61703"/>
    <w:rsid w:val="00F62842"/>
    <w:rsid w:val="00F64C51"/>
    <w:rsid w:val="00F67745"/>
    <w:rsid w:val="00F74F9A"/>
    <w:rsid w:val="00F7683E"/>
    <w:rsid w:val="00F818AF"/>
    <w:rsid w:val="00F856BA"/>
    <w:rsid w:val="00F903AD"/>
    <w:rsid w:val="00F914BB"/>
    <w:rsid w:val="00F968F9"/>
    <w:rsid w:val="00F9772F"/>
    <w:rsid w:val="00FA0D79"/>
    <w:rsid w:val="00FB3DC7"/>
    <w:rsid w:val="00FB72B6"/>
    <w:rsid w:val="00FC37AE"/>
    <w:rsid w:val="00FD602E"/>
    <w:rsid w:val="00FF1F35"/>
    <w:rsid w:val="00FF6DF0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A0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581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C37AE"/>
    <w:pPr>
      <w:widowControl w:val="0"/>
      <w:spacing w:after="0" w:line="240" w:lineRule="auto"/>
      <w:ind w:left="153"/>
    </w:pPr>
    <w:rPr>
      <w:rFonts w:ascii="Arial" w:eastAsia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37AE"/>
    <w:rPr>
      <w:rFonts w:ascii="Arial" w:eastAsia="Arial" w:hAnsi="Arial"/>
      <w:sz w:val="21"/>
      <w:szCs w:val="21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968F9"/>
    <w:rPr>
      <w:color w:val="0000FF" w:themeColor="hyperlink"/>
      <w:u w:val="single"/>
    </w:rPr>
  </w:style>
  <w:style w:type="character" w:styleId="Refdenotaalpie">
    <w:name w:val="footnote reference"/>
    <w:uiPriority w:val="99"/>
    <w:semiHidden/>
    <w:unhideWhenUsed/>
    <w:rsid w:val="00BE4B9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F25"/>
  </w:style>
  <w:style w:type="paragraph" w:styleId="Piedepgina">
    <w:name w:val="footer"/>
    <w:basedOn w:val="Normal"/>
    <w:link w:val="Piedepgina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F25"/>
  </w:style>
  <w:style w:type="paragraph" w:styleId="Prrafodelista">
    <w:name w:val="List Paragraph"/>
    <w:basedOn w:val="Normal"/>
    <w:uiPriority w:val="34"/>
    <w:qFormat/>
    <w:rsid w:val="004D0CF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358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paragraph" w:styleId="Sinespaciado">
    <w:name w:val="No Spacing"/>
    <w:uiPriority w:val="1"/>
    <w:qFormat/>
    <w:rsid w:val="00C97240"/>
    <w:pPr>
      <w:spacing w:after="0" w:line="240" w:lineRule="auto"/>
    </w:pPr>
  </w:style>
  <w:style w:type="paragraph" w:customStyle="1" w:styleId="ANOTACION">
    <w:name w:val="ANOTACION"/>
    <w:basedOn w:val="Normal"/>
    <w:rsid w:val="00EA3E1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B2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A">
    <w:name w:val="Cuerpo A"/>
    <w:rsid w:val="009755D6"/>
    <w:rPr>
      <w:rFonts w:ascii="Calibri" w:eastAsia="Calibri" w:hAnsi="Calibri" w:cs="Calibri"/>
      <w:color w:val="000000"/>
      <w:u w:color="000000"/>
      <w:lang w:val="es-ES_tradnl" w:eastAsia="es-MX"/>
    </w:rPr>
  </w:style>
  <w:style w:type="paragraph" w:customStyle="1" w:styleId="Default">
    <w:name w:val="Default"/>
    <w:rsid w:val="009755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A0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581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C37AE"/>
    <w:pPr>
      <w:widowControl w:val="0"/>
      <w:spacing w:after="0" w:line="240" w:lineRule="auto"/>
      <w:ind w:left="153"/>
    </w:pPr>
    <w:rPr>
      <w:rFonts w:ascii="Arial" w:eastAsia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37AE"/>
    <w:rPr>
      <w:rFonts w:ascii="Arial" w:eastAsia="Arial" w:hAnsi="Arial"/>
      <w:sz w:val="21"/>
      <w:szCs w:val="21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968F9"/>
    <w:rPr>
      <w:color w:val="0000FF" w:themeColor="hyperlink"/>
      <w:u w:val="single"/>
    </w:rPr>
  </w:style>
  <w:style w:type="character" w:styleId="Refdenotaalpie">
    <w:name w:val="footnote reference"/>
    <w:uiPriority w:val="99"/>
    <w:semiHidden/>
    <w:unhideWhenUsed/>
    <w:rsid w:val="00BE4B9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F25"/>
  </w:style>
  <w:style w:type="paragraph" w:styleId="Piedepgina">
    <w:name w:val="footer"/>
    <w:basedOn w:val="Normal"/>
    <w:link w:val="Piedepgina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F25"/>
  </w:style>
  <w:style w:type="paragraph" w:styleId="Prrafodelista">
    <w:name w:val="List Paragraph"/>
    <w:basedOn w:val="Normal"/>
    <w:uiPriority w:val="34"/>
    <w:qFormat/>
    <w:rsid w:val="004D0CF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358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paragraph" w:styleId="Sinespaciado">
    <w:name w:val="No Spacing"/>
    <w:uiPriority w:val="1"/>
    <w:qFormat/>
    <w:rsid w:val="00C97240"/>
    <w:pPr>
      <w:spacing w:after="0" w:line="240" w:lineRule="auto"/>
    </w:pPr>
  </w:style>
  <w:style w:type="paragraph" w:customStyle="1" w:styleId="ANOTACION">
    <w:name w:val="ANOTACION"/>
    <w:basedOn w:val="Normal"/>
    <w:rsid w:val="00EA3E1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B2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A">
    <w:name w:val="Cuerpo A"/>
    <w:rsid w:val="009755D6"/>
    <w:rPr>
      <w:rFonts w:ascii="Calibri" w:eastAsia="Calibri" w:hAnsi="Calibri" w:cs="Calibri"/>
      <w:color w:val="000000"/>
      <w:u w:color="000000"/>
      <w:lang w:val="es-ES_tradnl" w:eastAsia="es-MX"/>
    </w:rPr>
  </w:style>
  <w:style w:type="paragraph" w:customStyle="1" w:styleId="Default">
    <w:name w:val="Default"/>
    <w:rsid w:val="009755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080F1-DDDD-45A9-8315-5688954F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3195</Words>
  <Characters>17576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juridico</cp:lastModifiedBy>
  <cp:revision>12</cp:revision>
  <cp:lastPrinted>2018-05-14T21:24:00Z</cp:lastPrinted>
  <dcterms:created xsi:type="dcterms:W3CDTF">2018-05-09T15:03:00Z</dcterms:created>
  <dcterms:modified xsi:type="dcterms:W3CDTF">2018-08-31T20:20:00Z</dcterms:modified>
</cp:coreProperties>
</file>