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4BDD2" w14:textId="4EDD7341" w:rsidR="00DB377A" w:rsidRPr="00DB1A54" w:rsidRDefault="00EC4C7D" w:rsidP="00EC4C7D">
      <w:pPr>
        <w:jc w:val="both"/>
        <w:rPr>
          <w:rFonts w:ascii="Arial" w:eastAsia="Arial Unicode MS" w:hAnsi="Arial" w:cs="Arial"/>
          <w:b/>
          <w:sz w:val="28"/>
        </w:rPr>
      </w:pPr>
      <w:bookmarkStart w:id="0" w:name="_GoBack"/>
      <w:bookmarkEnd w:id="0"/>
      <w:r w:rsidRPr="00DB1A54">
        <w:rPr>
          <w:rFonts w:ascii="Arial" w:eastAsia="Arial Unicode MS" w:hAnsi="Arial" w:cs="Arial"/>
          <w:b/>
          <w:sz w:val="28"/>
        </w:rPr>
        <w:t>ACUERDO ACDO/CG/IAIP/044/2021 QUE EMITE EL CONSEJO GENERAL DEL INSTITUTO DE ACCESO A LA INFORMACIÓN PÚBLICA Y PROTECCIÓN DE DATOS PERSONALES, MEDIANTE EL CUAL SE APRUEBA EL DICTAMEN QUE EMITE LA DIRECCIÓN DE ASUNTOS JURÍDICOS DEL INSTITUTO DE ACCESO A LA INFORMACIÓN PÚBLICA Y PROTECCIÓN DE DATOS PERSONALES, PARA LA VALIDACIÓN DE LA ACTUALIZACIÓN DEL PADRÓN DE SUJETOS OBLIGADOS DE LA ENTIDAD.</w:t>
      </w:r>
    </w:p>
    <w:p w14:paraId="24D493B3" w14:textId="77777777" w:rsidR="00DB377A" w:rsidRPr="00DB1A54" w:rsidRDefault="00DB377A" w:rsidP="00DB377A">
      <w:pPr>
        <w:spacing w:line="276" w:lineRule="auto"/>
        <w:jc w:val="both"/>
        <w:rPr>
          <w:rFonts w:ascii="Arial" w:eastAsia="Arial Unicode MS" w:hAnsi="Arial" w:cs="Arial"/>
          <w:b/>
        </w:rPr>
      </w:pPr>
    </w:p>
    <w:p w14:paraId="4FE5B647" w14:textId="77777777" w:rsidR="00F5161B" w:rsidRPr="00DB1A54" w:rsidRDefault="00F5161B" w:rsidP="00DB377A">
      <w:pPr>
        <w:spacing w:line="276" w:lineRule="auto"/>
        <w:jc w:val="center"/>
        <w:rPr>
          <w:rFonts w:ascii="Arial" w:eastAsia="Arial Unicode MS" w:hAnsi="Arial" w:cs="Arial"/>
          <w:b/>
          <w:bCs/>
        </w:rPr>
      </w:pPr>
    </w:p>
    <w:p w14:paraId="21F25A90" w14:textId="2CB4E156" w:rsidR="00DB377A" w:rsidRPr="00DB1A54" w:rsidRDefault="00EC4C7D" w:rsidP="00DB377A">
      <w:pPr>
        <w:spacing w:line="276" w:lineRule="auto"/>
        <w:jc w:val="center"/>
        <w:rPr>
          <w:rFonts w:ascii="Arial" w:eastAsia="Arial Unicode MS" w:hAnsi="Arial" w:cs="Arial"/>
          <w:b/>
          <w:bCs/>
        </w:rPr>
      </w:pPr>
      <w:r w:rsidRPr="00DB1A54">
        <w:rPr>
          <w:rFonts w:ascii="Arial" w:eastAsia="Arial Unicode MS" w:hAnsi="Arial" w:cs="Arial"/>
          <w:b/>
          <w:bCs/>
        </w:rPr>
        <w:t>ANTECEDENTES</w:t>
      </w:r>
      <w:r w:rsidR="00DB377A" w:rsidRPr="00DB1A54">
        <w:rPr>
          <w:rFonts w:ascii="Arial" w:eastAsia="Arial Unicode MS" w:hAnsi="Arial" w:cs="Arial"/>
          <w:b/>
          <w:bCs/>
        </w:rPr>
        <w:t>:</w:t>
      </w:r>
    </w:p>
    <w:p w14:paraId="164BB33F" w14:textId="77777777" w:rsidR="00EC4C7D" w:rsidRPr="00DB1A54" w:rsidRDefault="00EC4C7D" w:rsidP="00DB377A">
      <w:pPr>
        <w:spacing w:line="276" w:lineRule="auto"/>
        <w:jc w:val="center"/>
        <w:rPr>
          <w:rFonts w:ascii="Arial" w:eastAsia="Arial Unicode MS" w:hAnsi="Arial" w:cs="Arial"/>
          <w:b/>
          <w:bCs/>
        </w:rPr>
      </w:pPr>
    </w:p>
    <w:p w14:paraId="153E6348" w14:textId="0B688DDD" w:rsidR="005F7D84" w:rsidRPr="00DB1A54" w:rsidRDefault="008954D5" w:rsidP="008954D5">
      <w:pPr>
        <w:jc w:val="both"/>
        <w:rPr>
          <w:rFonts w:ascii="Arial" w:eastAsia="Arial Unicode MS" w:hAnsi="Arial" w:cs="Arial"/>
        </w:rPr>
      </w:pPr>
      <w:r w:rsidRPr="00DB1A54">
        <w:rPr>
          <w:rFonts w:ascii="Arial" w:eastAsia="Arial Unicode MS" w:hAnsi="Arial" w:cs="Arial"/>
          <w:b/>
        </w:rPr>
        <w:t>PRIMERO</w:t>
      </w:r>
      <w:r w:rsidR="00EC4C7D" w:rsidRPr="00DB1A54">
        <w:rPr>
          <w:rFonts w:ascii="Arial" w:eastAsia="Arial Unicode MS" w:hAnsi="Arial" w:cs="Arial"/>
          <w:b/>
        </w:rPr>
        <w:t>.</w:t>
      </w:r>
      <w:r w:rsidR="00EC4C7D" w:rsidRPr="00DB1A54">
        <w:rPr>
          <w:rFonts w:ascii="Arial" w:eastAsia="Arial Unicode MS" w:hAnsi="Arial" w:cs="Arial"/>
        </w:rPr>
        <w:t xml:space="preserve"> </w:t>
      </w:r>
      <w:r w:rsidR="005F7D84" w:rsidRPr="00DB1A54">
        <w:rPr>
          <w:rFonts w:ascii="Arial" w:eastAsia="Arial Unicode MS" w:hAnsi="Arial" w:cs="Arial"/>
        </w:rPr>
        <w:t>Con fecha quince de julio del año dos mil dieciséis, fue aprobado en la décima octava sesión ordinaria 2016 del Consejo General del Órgano Garante en materia de Acceso a la Información Pública y Protección de Datos Personales, el padrón de sujetos obligados de la Entidad, que consta de aquellos que reúnen las cualidades que señalan los artículos 23 de la Ley General de Transparencia y Acceso a la Información Pública, y 7 de la Ley de Transparencia y Acceso a la Informació</w:t>
      </w:r>
      <w:r w:rsidR="00F5161B" w:rsidRPr="00DB1A54">
        <w:rPr>
          <w:rFonts w:ascii="Arial" w:eastAsia="Arial Unicode MS" w:hAnsi="Arial" w:cs="Arial"/>
        </w:rPr>
        <w:t>n Pública del Estado de Oaxaca.</w:t>
      </w:r>
    </w:p>
    <w:p w14:paraId="0AE38A4B" w14:textId="77777777" w:rsidR="005F7D84" w:rsidRPr="00DB1A54" w:rsidRDefault="005F7D84" w:rsidP="008954D5">
      <w:pPr>
        <w:jc w:val="both"/>
        <w:rPr>
          <w:rFonts w:ascii="Arial" w:eastAsia="Arial Unicode MS" w:hAnsi="Arial" w:cs="Arial"/>
        </w:rPr>
      </w:pPr>
    </w:p>
    <w:p w14:paraId="5C363390" w14:textId="13D8AFB0" w:rsidR="00F5161B" w:rsidRPr="00DB1A54" w:rsidRDefault="005F7D84" w:rsidP="008954D5">
      <w:pPr>
        <w:jc w:val="both"/>
        <w:rPr>
          <w:rFonts w:ascii="Arial" w:eastAsia="Arial Unicode MS" w:hAnsi="Arial" w:cs="Arial"/>
        </w:rPr>
      </w:pPr>
      <w:r w:rsidRPr="00DB1A54">
        <w:rPr>
          <w:rFonts w:ascii="Arial" w:eastAsia="Arial Unicode MS" w:hAnsi="Arial" w:cs="Arial"/>
          <w:b/>
        </w:rPr>
        <w:t>SEGUNDO.</w:t>
      </w:r>
      <w:r w:rsidRPr="00DB1A54">
        <w:rPr>
          <w:rFonts w:ascii="Arial" w:eastAsia="Arial Unicode MS" w:hAnsi="Arial" w:cs="Arial"/>
        </w:rPr>
        <w:t xml:space="preserve"> </w:t>
      </w:r>
      <w:r w:rsidR="00F5161B" w:rsidRPr="00DB1A54">
        <w:rPr>
          <w:rFonts w:ascii="Arial" w:eastAsia="Arial Unicode MS" w:hAnsi="Arial" w:cs="Arial"/>
        </w:rPr>
        <w:t>Con fecha cinco de marzo del año dos mil veintiuno, por medio de la sexta sesión extraordinaria 2021</w:t>
      </w:r>
      <w:r w:rsidR="00F5161B" w:rsidRPr="00DB1A54">
        <w:rPr>
          <w:rFonts w:ascii="Arial" w:eastAsia="Arial Unicode MS" w:hAnsi="Arial" w:cs="Arial"/>
          <w:b/>
        </w:rPr>
        <w:t xml:space="preserve"> </w:t>
      </w:r>
      <w:r w:rsidR="00F5161B" w:rsidRPr="00DB1A54">
        <w:rPr>
          <w:rFonts w:ascii="Arial" w:eastAsia="Arial Unicode MS" w:hAnsi="Arial" w:cs="Arial"/>
        </w:rPr>
        <w:t>del Consejo General del Órgano Garante en materia de Acceso a la Información Pública y Protección de Datos Personales, a efecto de brindar certeza jurídica, por medio del acuerdo ACDO/CG/012/2021 se actualizó el padrón de sujetos obligados de la Entidad</w:t>
      </w:r>
      <w:r w:rsidR="00F5161B" w:rsidRPr="00DB1A54">
        <w:rPr>
          <w:rFonts w:ascii="Arial" w:eastAsia="Arial Unicode MS" w:hAnsi="Arial" w:cs="Arial"/>
        </w:rPr>
        <w:t>.</w:t>
      </w:r>
    </w:p>
    <w:p w14:paraId="12DBC31B" w14:textId="77777777" w:rsidR="00F5161B" w:rsidRPr="00DB1A54" w:rsidRDefault="00F5161B" w:rsidP="008954D5">
      <w:pPr>
        <w:jc w:val="both"/>
        <w:rPr>
          <w:rFonts w:ascii="Arial" w:eastAsia="Arial Unicode MS" w:hAnsi="Arial" w:cs="Arial"/>
        </w:rPr>
      </w:pPr>
    </w:p>
    <w:p w14:paraId="70857076" w14:textId="170A67C4" w:rsidR="00EC4C7D" w:rsidRDefault="00F5161B" w:rsidP="008954D5">
      <w:pPr>
        <w:jc w:val="both"/>
        <w:rPr>
          <w:rFonts w:ascii="Arial" w:eastAsia="Arial Unicode MS" w:hAnsi="Arial" w:cs="Arial"/>
        </w:rPr>
      </w:pPr>
      <w:r w:rsidRPr="00DB1A54">
        <w:rPr>
          <w:rFonts w:ascii="Arial" w:eastAsia="Arial Unicode MS" w:hAnsi="Arial" w:cs="Arial"/>
          <w:b/>
        </w:rPr>
        <w:t>TERCERO</w:t>
      </w:r>
      <w:r w:rsidRPr="00DB1A54">
        <w:rPr>
          <w:rFonts w:ascii="Arial" w:eastAsia="Arial Unicode MS" w:hAnsi="Arial" w:cs="Arial"/>
        </w:rPr>
        <w:t xml:space="preserve">. </w:t>
      </w:r>
      <w:r w:rsidR="00EC4C7D" w:rsidRPr="00DB1A54">
        <w:rPr>
          <w:rFonts w:ascii="Arial" w:eastAsia="Arial Unicode MS" w:hAnsi="Arial" w:cs="Arial"/>
        </w:rPr>
        <w:t>Con fecha veintiséis de mayo del año dos mil veintiuno, por medio de la décima sesión ordinaria 2021</w:t>
      </w:r>
      <w:r w:rsidR="00EC4C7D" w:rsidRPr="00DB1A54">
        <w:rPr>
          <w:rFonts w:ascii="Arial" w:eastAsia="Arial Unicode MS" w:hAnsi="Arial" w:cs="Arial"/>
          <w:b/>
        </w:rPr>
        <w:t xml:space="preserve"> </w:t>
      </w:r>
      <w:r w:rsidR="00EC4C7D" w:rsidRPr="00DB1A54">
        <w:rPr>
          <w:rFonts w:ascii="Arial" w:eastAsia="Arial Unicode MS" w:hAnsi="Arial" w:cs="Arial"/>
        </w:rPr>
        <w:t>del Consejo General del Órgano Garante en materia de Acceso a la Información Pública y Pr</w:t>
      </w:r>
      <w:r w:rsidR="008954D5" w:rsidRPr="00DB1A54">
        <w:rPr>
          <w:rFonts w:ascii="Arial" w:eastAsia="Arial Unicode MS" w:hAnsi="Arial" w:cs="Arial"/>
        </w:rPr>
        <w:t>otección de Datos Personales, se aprobó el acuerdo ACDO/CG/036/2021 por medio del cual s</w:t>
      </w:r>
      <w:r w:rsidR="00EC4C7D" w:rsidRPr="00DB1A54">
        <w:rPr>
          <w:rFonts w:ascii="Arial" w:eastAsia="Arial Unicode MS" w:hAnsi="Arial" w:cs="Arial"/>
        </w:rPr>
        <w:t xml:space="preserve">e actualizó el padrón de </w:t>
      </w:r>
      <w:r w:rsidR="008954D5" w:rsidRPr="00DB1A54">
        <w:rPr>
          <w:rFonts w:ascii="Arial" w:eastAsia="Arial Unicode MS" w:hAnsi="Arial" w:cs="Arial"/>
        </w:rPr>
        <w:t>sujetos obligados de la Entidad.</w:t>
      </w:r>
    </w:p>
    <w:p w14:paraId="3F2EE768" w14:textId="77777777" w:rsidR="00C96E7D" w:rsidRPr="00DB1A54" w:rsidRDefault="00C96E7D" w:rsidP="008954D5">
      <w:pPr>
        <w:jc w:val="both"/>
        <w:rPr>
          <w:rFonts w:ascii="Arial" w:eastAsia="Arial Unicode MS" w:hAnsi="Arial" w:cs="Arial"/>
        </w:rPr>
      </w:pPr>
    </w:p>
    <w:p w14:paraId="4A3862E4" w14:textId="77777777" w:rsidR="00EC4C7D" w:rsidRPr="00DB1A54" w:rsidRDefault="00EC4C7D" w:rsidP="00EC4C7D">
      <w:pPr>
        <w:jc w:val="both"/>
        <w:rPr>
          <w:rFonts w:ascii="Arial" w:eastAsia="Arial Unicode MS" w:hAnsi="Arial" w:cs="Arial"/>
        </w:rPr>
      </w:pPr>
    </w:p>
    <w:p w14:paraId="7036A0C3" w14:textId="77777777" w:rsidR="00EC4C7D" w:rsidRPr="00DB1A54" w:rsidRDefault="00EC4C7D" w:rsidP="00EC4C7D">
      <w:pPr>
        <w:jc w:val="center"/>
        <w:rPr>
          <w:rFonts w:ascii="Arial" w:eastAsia="Arial Unicode MS" w:hAnsi="Arial" w:cs="Arial"/>
          <w:b/>
        </w:rPr>
      </w:pPr>
      <w:r w:rsidRPr="00DB1A54">
        <w:rPr>
          <w:rFonts w:ascii="Arial" w:eastAsia="Arial Unicode MS" w:hAnsi="Arial" w:cs="Arial"/>
          <w:b/>
        </w:rPr>
        <w:t>C O N S I D E R A N D O</w:t>
      </w:r>
    </w:p>
    <w:p w14:paraId="7AC2542B" w14:textId="77777777" w:rsidR="00EC4C7D" w:rsidRDefault="00EC4C7D" w:rsidP="00EC4C7D">
      <w:pPr>
        <w:jc w:val="center"/>
        <w:rPr>
          <w:rFonts w:ascii="Arial" w:eastAsia="Arial Unicode MS" w:hAnsi="Arial" w:cs="Arial"/>
          <w:b/>
        </w:rPr>
      </w:pPr>
    </w:p>
    <w:p w14:paraId="05704532" w14:textId="77777777" w:rsidR="00C96E7D" w:rsidRPr="00DB1A54" w:rsidRDefault="00C96E7D" w:rsidP="00EC4C7D">
      <w:pPr>
        <w:jc w:val="center"/>
        <w:rPr>
          <w:rFonts w:ascii="Arial" w:eastAsia="Arial Unicode MS" w:hAnsi="Arial" w:cs="Arial"/>
          <w:b/>
        </w:rPr>
      </w:pPr>
    </w:p>
    <w:p w14:paraId="0C23F53A" w14:textId="77777777" w:rsidR="00EC4C7D" w:rsidRPr="00DB1A54" w:rsidRDefault="00EC4C7D" w:rsidP="00EC4C7D">
      <w:pPr>
        <w:tabs>
          <w:tab w:val="left" w:pos="567"/>
        </w:tabs>
        <w:jc w:val="both"/>
        <w:rPr>
          <w:rFonts w:ascii="Arial" w:eastAsia="Arial Unicode MS" w:hAnsi="Arial" w:cs="Arial"/>
          <w:lang w:val="es-ES" w:eastAsia="es-ES"/>
        </w:rPr>
      </w:pPr>
      <w:r w:rsidRPr="00DB1A54">
        <w:rPr>
          <w:rFonts w:ascii="Arial" w:eastAsia="Arial Unicode MS" w:hAnsi="Arial" w:cs="Arial"/>
          <w:b/>
          <w:lang w:val="es-ES" w:eastAsia="es-ES"/>
        </w:rPr>
        <w:t>I.</w:t>
      </w:r>
      <w:r w:rsidRPr="00DB1A54">
        <w:rPr>
          <w:rFonts w:ascii="Arial" w:eastAsia="Arial Unicode MS" w:hAnsi="Arial" w:cs="Arial"/>
          <w:lang w:val="es-ES" w:eastAsia="es-ES"/>
        </w:rPr>
        <w:t xml:space="preserve"> </w:t>
      </w:r>
      <w:r w:rsidRPr="00DB1A54">
        <w:rPr>
          <w:rFonts w:ascii="Arial" w:eastAsia="Arial Unicode MS" w:hAnsi="Arial" w:cs="Arial"/>
        </w:rPr>
        <w:t>Que la Ley General de Transparencia y Acceso a la Información Pública establece en su artículo 23, que son Sujetos obligados a transparentar y permitir el acceso a la información que obre en su poder, 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estatal y municipal.</w:t>
      </w:r>
    </w:p>
    <w:p w14:paraId="5A83726F" w14:textId="77777777" w:rsidR="00EC4C7D" w:rsidRPr="00DB1A54" w:rsidRDefault="00EC4C7D" w:rsidP="00EC4C7D">
      <w:pPr>
        <w:jc w:val="both"/>
        <w:rPr>
          <w:rFonts w:ascii="Arial" w:eastAsia="Arial Unicode MS" w:hAnsi="Arial" w:cs="Arial"/>
        </w:rPr>
      </w:pPr>
    </w:p>
    <w:p w14:paraId="3BBD7A49" w14:textId="053B9164" w:rsidR="00EC4C7D" w:rsidRPr="00DB1A54" w:rsidRDefault="00EC4C7D" w:rsidP="00EC4C7D">
      <w:pPr>
        <w:jc w:val="both"/>
        <w:rPr>
          <w:rFonts w:ascii="Arial" w:eastAsia="Arial Unicode MS" w:hAnsi="Arial" w:cs="Arial"/>
        </w:rPr>
      </w:pPr>
      <w:r w:rsidRPr="00DB1A54">
        <w:rPr>
          <w:rFonts w:ascii="Arial" w:eastAsia="Arial Unicode MS" w:hAnsi="Arial" w:cs="Arial"/>
          <w:b/>
        </w:rPr>
        <w:t>II.</w:t>
      </w:r>
      <w:r w:rsidRPr="00DB1A54">
        <w:rPr>
          <w:rFonts w:ascii="Arial" w:eastAsia="Arial Unicode MS" w:hAnsi="Arial" w:cs="Arial"/>
        </w:rPr>
        <w:t xml:space="preserve"> Que la Ley de Transparencia y Acceso a la Información Pública para el Estado de Oaxaca en vigor, por su parte, establece en su artículo 7, que revisten la calidad de Sujetos obligados el Poder Ejecutivo del Estado: el Poder Judicial del Estado; el Poder Legislativo del Estado y la Auditoría Superior del Estado; los Ayuntamientos y la Administración Pública Municipal; los organismos descentralizados y desconcentrados de la Administración Pública Estatal y Municipal, así como las empresas de participación estatal o municipal; las Juntas en Materia del Trabajo; las universidades públicas, e instituciones de educación superior públicas; los partidos políticos y agrupaciones políticas; los sindicatos que reciban y/o ejerzan recursos públicos en el ámbito estatal y municipal; los fideicomisos y fondos públicos que cuenten con financiamiento público, parcial o total, con participación de  entidades de gobierno; las organizaciones de la sociedad civil que reciban y/o </w:t>
      </w:r>
      <w:r w:rsidRPr="00DB1A54">
        <w:rPr>
          <w:rFonts w:ascii="Arial" w:eastAsia="Arial Unicode MS" w:hAnsi="Arial" w:cs="Arial"/>
        </w:rPr>
        <w:lastRenderedPageBreak/>
        <w:t>ejerzan recursos públicos en el ámbito estatal y municipal, y las instituciones de beneficencia que sean constituidas conforme a la ley de la materia, siendo incluidos los órganos y dependencias de los Poderes Ejecutivo, Legislativo y Judicial, y de los Ayuntamientos cualquiera que sea su denominación y aquellos que la legislación les reconozca como de interés público.</w:t>
      </w:r>
    </w:p>
    <w:p w14:paraId="6F091D68" w14:textId="77777777" w:rsidR="00EC4C7D" w:rsidRPr="00DB1A54" w:rsidRDefault="00EC4C7D" w:rsidP="00EC4C7D">
      <w:pPr>
        <w:jc w:val="both"/>
        <w:rPr>
          <w:rFonts w:ascii="Arial" w:eastAsia="Arial Unicode MS" w:hAnsi="Arial" w:cs="Arial"/>
        </w:rPr>
      </w:pPr>
    </w:p>
    <w:p w14:paraId="4BBA0548" w14:textId="77777777" w:rsidR="00EC4C7D" w:rsidRPr="00DB1A54" w:rsidRDefault="00EC4C7D" w:rsidP="00EC4C7D">
      <w:pPr>
        <w:jc w:val="both"/>
        <w:rPr>
          <w:rFonts w:ascii="Arial" w:eastAsia="Arial Unicode MS" w:hAnsi="Arial" w:cs="Arial"/>
        </w:rPr>
      </w:pPr>
      <w:r w:rsidRPr="00DB1A54">
        <w:rPr>
          <w:rFonts w:ascii="Arial" w:eastAsia="Arial Unicode MS" w:hAnsi="Arial" w:cs="Arial"/>
          <w:b/>
        </w:rPr>
        <w:t>III</w:t>
      </w:r>
      <w:r w:rsidRPr="00DB1A54">
        <w:rPr>
          <w:rFonts w:ascii="Arial" w:eastAsia="Arial Unicode MS" w:hAnsi="Arial" w:cs="Arial"/>
        </w:rPr>
        <w:t>. Que del contenido de los considerandos plasmados con antelación, debe destacarse que son sujetos obligados a transparentar, rendir cuentas y permitir el acceso a la información, aquellos que tienen cualquiera de las siguientes cualidades:</w:t>
      </w:r>
    </w:p>
    <w:p w14:paraId="3A698794" w14:textId="77777777" w:rsidR="00EC4C7D" w:rsidRPr="00DB1A54" w:rsidRDefault="00EC4C7D" w:rsidP="00EC4C7D">
      <w:pPr>
        <w:jc w:val="both"/>
        <w:rPr>
          <w:rFonts w:ascii="Arial" w:eastAsia="Arial Unicode MS" w:hAnsi="Arial" w:cs="Arial"/>
        </w:rPr>
      </w:pPr>
    </w:p>
    <w:p w14:paraId="7D830C3B" w14:textId="77777777" w:rsidR="00EC4C7D" w:rsidRPr="00DB1A54" w:rsidRDefault="00EC4C7D" w:rsidP="00EC4C7D">
      <w:pPr>
        <w:numPr>
          <w:ilvl w:val="0"/>
          <w:numId w:val="1"/>
        </w:numPr>
        <w:spacing w:after="200" w:line="276" w:lineRule="auto"/>
        <w:contextualSpacing/>
        <w:jc w:val="both"/>
        <w:rPr>
          <w:rFonts w:ascii="Arial" w:eastAsia="Arial Unicode MS" w:hAnsi="Arial" w:cs="Arial"/>
        </w:rPr>
      </w:pPr>
      <w:r w:rsidRPr="00DB1A54">
        <w:rPr>
          <w:rFonts w:ascii="Arial" w:eastAsia="Arial Unicode MS" w:hAnsi="Arial" w:cs="Arial"/>
        </w:rPr>
        <w:t>Recibir y/o ejercer recursos públicos, y</w:t>
      </w:r>
    </w:p>
    <w:p w14:paraId="277940FA" w14:textId="77777777" w:rsidR="00EC4C7D" w:rsidRPr="00DB1A54" w:rsidRDefault="00EC4C7D" w:rsidP="00EC4C7D">
      <w:pPr>
        <w:numPr>
          <w:ilvl w:val="0"/>
          <w:numId w:val="1"/>
        </w:numPr>
        <w:spacing w:after="200" w:line="276" w:lineRule="auto"/>
        <w:contextualSpacing/>
        <w:jc w:val="both"/>
        <w:rPr>
          <w:rFonts w:ascii="Arial" w:eastAsia="Arial Unicode MS" w:hAnsi="Arial" w:cs="Arial"/>
        </w:rPr>
      </w:pPr>
      <w:r w:rsidRPr="00DB1A54">
        <w:rPr>
          <w:rFonts w:ascii="Arial" w:eastAsia="Arial Unicode MS" w:hAnsi="Arial" w:cs="Arial"/>
        </w:rPr>
        <w:t>Realizar actos de autoridad.</w:t>
      </w:r>
    </w:p>
    <w:p w14:paraId="71BE6EF0" w14:textId="77777777" w:rsidR="00EC4C7D" w:rsidRPr="00DB1A54" w:rsidRDefault="00EC4C7D" w:rsidP="00EC4C7D">
      <w:pPr>
        <w:spacing w:after="200" w:line="276" w:lineRule="auto"/>
        <w:ind w:left="360"/>
        <w:contextualSpacing/>
        <w:jc w:val="both"/>
        <w:rPr>
          <w:rFonts w:ascii="Arial" w:eastAsia="Arial Unicode MS" w:hAnsi="Arial" w:cs="Arial"/>
        </w:rPr>
      </w:pPr>
    </w:p>
    <w:p w14:paraId="46464D16" w14:textId="12080FD9" w:rsidR="00DB1A54" w:rsidRDefault="00EC4C7D" w:rsidP="00EC4C7D">
      <w:pPr>
        <w:jc w:val="both"/>
        <w:rPr>
          <w:rFonts w:ascii="Arial" w:eastAsia="Arial Unicode MS" w:hAnsi="Arial" w:cs="Arial"/>
        </w:rPr>
      </w:pPr>
      <w:r w:rsidRPr="00DB1A54">
        <w:rPr>
          <w:rFonts w:ascii="Arial" w:eastAsia="Arial Unicode MS" w:hAnsi="Arial" w:cs="Arial"/>
          <w:b/>
        </w:rPr>
        <w:t>IV.</w:t>
      </w:r>
      <w:r w:rsidRPr="00DB1A54">
        <w:rPr>
          <w:rFonts w:ascii="Arial" w:eastAsia="Arial Unicode MS" w:hAnsi="Arial" w:cs="Arial"/>
        </w:rPr>
        <w:t xml:space="preserve"> Que </w:t>
      </w:r>
      <w:r w:rsidR="00F5161B" w:rsidRPr="00DB1A54">
        <w:rPr>
          <w:rFonts w:ascii="Arial" w:eastAsia="Arial Unicode MS" w:hAnsi="Arial" w:cs="Arial"/>
        </w:rPr>
        <w:t>derivado del Dictamen emitido por la  Dirección de Asuntos Jurídicos por medio del cual se aprobó la desincorporación del sujeto obligado Jefatura de la Gube</w:t>
      </w:r>
      <w:r w:rsidR="00DB1A54" w:rsidRPr="00DB1A54">
        <w:rPr>
          <w:rFonts w:ascii="Arial" w:eastAsia="Arial Unicode MS" w:hAnsi="Arial" w:cs="Arial"/>
        </w:rPr>
        <w:t>rnatura esto con base en el</w:t>
      </w:r>
      <w:r w:rsidRPr="00DB1A54">
        <w:rPr>
          <w:rFonts w:ascii="Arial" w:eastAsia="Arial Unicode MS" w:hAnsi="Arial" w:cs="Arial"/>
        </w:rPr>
        <w:t xml:space="preserve"> Decreto número 2994 publicado el día cinco de mayo en el Periódico oficial del Estado </w:t>
      </w:r>
      <w:r w:rsidR="00DB1A54" w:rsidRPr="00DB1A54">
        <w:rPr>
          <w:rFonts w:ascii="Arial" w:eastAsia="Arial Unicode MS" w:hAnsi="Arial" w:cs="Arial"/>
        </w:rPr>
        <w:t xml:space="preserve">por medio del cual se dio a conocer a la sociedad que </w:t>
      </w:r>
      <w:r w:rsidRPr="00DB1A54">
        <w:rPr>
          <w:rFonts w:ascii="Arial" w:eastAsia="Arial Unicode MS" w:hAnsi="Arial" w:cs="Arial"/>
        </w:rPr>
        <w:t>la fracción I del artículo 33 y el artículo 50 de la Ley Orgánica del Poder Ejecutivo del Estado de Oaxaca</w:t>
      </w:r>
      <w:r w:rsidR="00DB1A54" w:rsidRPr="00DB1A54">
        <w:rPr>
          <w:rFonts w:ascii="Arial" w:eastAsia="Arial Unicode MS" w:hAnsi="Arial" w:cs="Arial"/>
        </w:rPr>
        <w:t xml:space="preserve"> quedo</w:t>
      </w:r>
      <w:r w:rsidR="00DB1A54" w:rsidRPr="00DB1A54">
        <w:rPr>
          <w:rFonts w:ascii="Arial" w:eastAsia="Arial Unicode MS" w:hAnsi="Arial" w:cs="Arial"/>
        </w:rPr>
        <w:t xml:space="preserve"> derog</w:t>
      </w:r>
      <w:r w:rsidR="00DB1A54" w:rsidRPr="00DB1A54">
        <w:rPr>
          <w:rFonts w:ascii="Arial" w:eastAsia="Arial Unicode MS" w:hAnsi="Arial" w:cs="Arial"/>
        </w:rPr>
        <w:t>ada.</w:t>
      </w:r>
    </w:p>
    <w:p w14:paraId="5A54BCEA" w14:textId="77777777" w:rsidR="00DB1A54" w:rsidRPr="00DB1A54" w:rsidRDefault="00DB1A54" w:rsidP="00EC4C7D">
      <w:pPr>
        <w:jc w:val="both"/>
        <w:rPr>
          <w:rFonts w:ascii="Arial" w:eastAsia="Arial Unicode MS" w:hAnsi="Arial" w:cs="Arial"/>
        </w:rPr>
      </w:pPr>
    </w:p>
    <w:p w14:paraId="15206191" w14:textId="2DEF0958" w:rsidR="00EC4C7D" w:rsidRDefault="00DB1A54" w:rsidP="00EC4C7D">
      <w:pPr>
        <w:jc w:val="both"/>
        <w:rPr>
          <w:rFonts w:ascii="Arial" w:eastAsia="Arial Unicode MS" w:hAnsi="Arial" w:cs="Arial"/>
        </w:rPr>
      </w:pPr>
      <w:r w:rsidRPr="00DB1A54">
        <w:rPr>
          <w:rFonts w:ascii="Arial" w:eastAsia="Arial Unicode MS" w:hAnsi="Arial" w:cs="Arial"/>
          <w:b/>
          <w:lang w:val="es-ES" w:eastAsia="es-ES"/>
        </w:rPr>
        <w:t>V</w:t>
      </w:r>
      <w:r w:rsidR="00EC4C7D" w:rsidRPr="00DB1A54">
        <w:rPr>
          <w:rFonts w:ascii="Arial" w:eastAsia="Arial Unicode MS" w:hAnsi="Arial" w:cs="Arial"/>
          <w:lang w:val="es-ES" w:eastAsia="es-ES"/>
        </w:rPr>
        <w:t>. Que en virtud de las facultades que tiene el Consejo General, a efecto de brindar certeza jurídica, resulta relevante actualizar de manera constante el listado de los responsables en cumplir con las disposiciones establecidas en las leyes de la materia, es decir, a los sujetos obligados ante quienes los particulares pueden ejercer su derecho de acceso a la información, o bien, en dónde pueden localizar la información que sea de su interés</w:t>
      </w:r>
      <w:r w:rsidR="00EC4C7D" w:rsidRPr="00DB1A54">
        <w:rPr>
          <w:rFonts w:ascii="Arial" w:eastAsia="Arial Unicode MS" w:hAnsi="Arial" w:cs="Arial"/>
        </w:rPr>
        <w:t>, garantizando así el derecho humano de acceso a la información pública.</w:t>
      </w:r>
      <w:r>
        <w:rPr>
          <w:rFonts w:ascii="Arial" w:eastAsia="Arial Unicode MS" w:hAnsi="Arial" w:cs="Arial"/>
        </w:rPr>
        <w:t xml:space="preserve"> </w:t>
      </w:r>
    </w:p>
    <w:p w14:paraId="7FE048FA" w14:textId="77777777" w:rsidR="00DB1A54" w:rsidRDefault="00DB1A54" w:rsidP="00EC4C7D">
      <w:pPr>
        <w:jc w:val="both"/>
        <w:rPr>
          <w:rFonts w:ascii="Arial" w:eastAsia="Arial Unicode MS" w:hAnsi="Arial" w:cs="Arial"/>
        </w:rPr>
      </w:pPr>
    </w:p>
    <w:p w14:paraId="4EDE7B57" w14:textId="32DD8A59" w:rsidR="00DB1A54" w:rsidRDefault="00DB1A54" w:rsidP="00EC4C7D">
      <w:pPr>
        <w:jc w:val="both"/>
        <w:rPr>
          <w:rFonts w:ascii="Arial" w:eastAsia="Arial Unicode MS" w:hAnsi="Arial" w:cs="Arial"/>
        </w:rPr>
      </w:pPr>
      <w:r>
        <w:rPr>
          <w:rFonts w:ascii="Arial" w:eastAsia="Arial Unicode MS" w:hAnsi="Arial" w:cs="Arial"/>
        </w:rPr>
        <w:t>Por las razones expuestas y c</w:t>
      </w:r>
      <w:r w:rsidR="007F71E9">
        <w:rPr>
          <w:rFonts w:ascii="Arial" w:eastAsia="Arial Unicode MS" w:hAnsi="Arial" w:cs="Arial"/>
        </w:rPr>
        <w:t xml:space="preserve">on el fin de mantener actualizada la información en </w:t>
      </w:r>
      <w:r>
        <w:rPr>
          <w:rFonts w:ascii="Arial" w:eastAsia="Arial Unicode MS" w:hAnsi="Arial" w:cs="Arial"/>
        </w:rPr>
        <w:t xml:space="preserve">el padrón de sujetos obligados de la entidad, el Consejo general de este Instituto de Acceso a la Información Publica y Protección de Datos Personales, </w:t>
      </w:r>
    </w:p>
    <w:p w14:paraId="78114FC5" w14:textId="77777777" w:rsidR="007F71E9" w:rsidRDefault="007F71E9" w:rsidP="00EC4C7D">
      <w:pPr>
        <w:jc w:val="both"/>
        <w:rPr>
          <w:rFonts w:ascii="Arial" w:eastAsia="Arial Unicode MS" w:hAnsi="Arial" w:cs="Arial"/>
        </w:rPr>
      </w:pPr>
    </w:p>
    <w:p w14:paraId="19BE938A" w14:textId="77777777" w:rsidR="00C96E7D" w:rsidRDefault="00C96E7D" w:rsidP="007F71E9">
      <w:pPr>
        <w:spacing w:line="276" w:lineRule="auto"/>
        <w:jc w:val="center"/>
        <w:rPr>
          <w:rFonts w:ascii="Arial" w:eastAsia="Arial Unicode MS" w:hAnsi="Arial" w:cs="Arial"/>
          <w:b/>
          <w:bCs/>
        </w:rPr>
      </w:pPr>
    </w:p>
    <w:p w14:paraId="5F0F299A" w14:textId="77777777" w:rsidR="007F71E9" w:rsidRPr="00DB377A" w:rsidRDefault="007F71E9" w:rsidP="007F71E9">
      <w:pPr>
        <w:spacing w:line="276" w:lineRule="auto"/>
        <w:jc w:val="center"/>
        <w:rPr>
          <w:rFonts w:ascii="Arial" w:eastAsia="Arial Unicode MS" w:hAnsi="Arial" w:cs="Arial"/>
          <w:b/>
          <w:bCs/>
        </w:rPr>
      </w:pPr>
      <w:r w:rsidRPr="00D9263F">
        <w:rPr>
          <w:rFonts w:ascii="Arial" w:eastAsia="Arial Unicode MS" w:hAnsi="Arial" w:cs="Arial"/>
          <w:b/>
          <w:bCs/>
        </w:rPr>
        <w:t>ACUERDA:</w:t>
      </w:r>
    </w:p>
    <w:p w14:paraId="1D82F0B7" w14:textId="77777777" w:rsidR="00DB377A" w:rsidRDefault="00DB377A" w:rsidP="00DB377A">
      <w:pPr>
        <w:spacing w:line="276" w:lineRule="auto"/>
        <w:jc w:val="both"/>
        <w:rPr>
          <w:rFonts w:ascii="Arial" w:eastAsia="Arial Unicode MS" w:hAnsi="Arial" w:cs="Arial"/>
        </w:rPr>
      </w:pPr>
    </w:p>
    <w:p w14:paraId="0608C6C8" w14:textId="77777777" w:rsidR="00C96E7D" w:rsidRPr="00DB1A54" w:rsidRDefault="00C96E7D" w:rsidP="00DB377A">
      <w:pPr>
        <w:spacing w:line="276" w:lineRule="auto"/>
        <w:jc w:val="both"/>
        <w:rPr>
          <w:rFonts w:ascii="Arial" w:eastAsia="Arial Unicode MS" w:hAnsi="Arial" w:cs="Arial"/>
        </w:rPr>
      </w:pPr>
    </w:p>
    <w:p w14:paraId="435964A3" w14:textId="455F3DF3" w:rsidR="00DB377A" w:rsidRPr="00DB1A54" w:rsidRDefault="00DB377A" w:rsidP="00DB377A">
      <w:pPr>
        <w:jc w:val="both"/>
        <w:rPr>
          <w:rFonts w:ascii="Arial" w:eastAsia="Arial Unicode MS" w:hAnsi="Arial" w:cs="Arial"/>
        </w:rPr>
      </w:pPr>
      <w:r w:rsidRPr="00DB1A54">
        <w:rPr>
          <w:rFonts w:ascii="Arial" w:eastAsia="Arial Unicode MS" w:hAnsi="Arial" w:cs="Arial"/>
          <w:b/>
          <w:bCs/>
        </w:rPr>
        <w:t>PRIMERO.</w:t>
      </w:r>
      <w:r w:rsidRPr="00DB1A54">
        <w:rPr>
          <w:rFonts w:ascii="Arial" w:eastAsia="Arial Unicode MS" w:hAnsi="Arial" w:cs="Arial"/>
        </w:rPr>
        <w:t xml:space="preserve"> Se aprueba </w:t>
      </w:r>
      <w:r w:rsidRPr="00DB1A54">
        <w:rPr>
          <w:rFonts w:ascii="Arial" w:eastAsia="Arial Unicode MS" w:hAnsi="Arial" w:cs="Arial"/>
          <w:bCs/>
        </w:rPr>
        <w:t xml:space="preserve">por unanimidad de votos el </w:t>
      </w:r>
      <w:r w:rsidRPr="00DB1A54">
        <w:rPr>
          <w:rFonts w:ascii="Arial" w:eastAsia="Arial Unicode MS" w:hAnsi="Arial" w:cs="Arial"/>
        </w:rPr>
        <w:t>Dictamen que emite la Dirección de Asuntos Jurídicos respecto a</w:t>
      </w:r>
      <w:r w:rsidR="0080781D" w:rsidRPr="00DB1A54">
        <w:rPr>
          <w:rFonts w:ascii="Arial" w:eastAsia="Arial Unicode MS" w:hAnsi="Arial" w:cs="Arial"/>
        </w:rPr>
        <w:t xml:space="preserve"> la</w:t>
      </w:r>
      <w:r w:rsidRPr="00DB1A54">
        <w:rPr>
          <w:rFonts w:ascii="Arial" w:eastAsia="Arial Unicode MS" w:hAnsi="Arial" w:cs="Arial"/>
        </w:rPr>
        <w:t xml:space="preserve"> </w:t>
      </w:r>
      <w:r w:rsidR="0080781D" w:rsidRPr="00DB1A54">
        <w:rPr>
          <w:rFonts w:ascii="Arial" w:eastAsia="Arial Unicode MS" w:hAnsi="Arial" w:cs="Arial"/>
        </w:rPr>
        <w:t>actualización del padrón de sujetos obligados de la entidad.</w:t>
      </w:r>
    </w:p>
    <w:p w14:paraId="71D863D3" w14:textId="77777777" w:rsidR="0080781D" w:rsidRPr="00DB1A54" w:rsidRDefault="0080781D" w:rsidP="00DB377A">
      <w:pPr>
        <w:jc w:val="both"/>
        <w:rPr>
          <w:rFonts w:ascii="Arial" w:eastAsia="Arial Unicode MS" w:hAnsi="Arial" w:cs="Arial"/>
        </w:rPr>
      </w:pPr>
    </w:p>
    <w:p w14:paraId="2FFF6DC5" w14:textId="11DB54CE" w:rsidR="00DB377A" w:rsidRPr="00DB1A54" w:rsidRDefault="00DB377A" w:rsidP="00DB377A">
      <w:pPr>
        <w:jc w:val="both"/>
        <w:rPr>
          <w:rFonts w:ascii="Arial" w:eastAsia="Arial Unicode MS" w:hAnsi="Arial" w:cs="Arial"/>
        </w:rPr>
      </w:pPr>
      <w:r w:rsidRPr="00DB1A54">
        <w:rPr>
          <w:rFonts w:ascii="Arial" w:eastAsia="Arial Unicode MS" w:hAnsi="Arial" w:cs="Arial"/>
          <w:b/>
        </w:rPr>
        <w:t xml:space="preserve">SEGUNDO. </w:t>
      </w:r>
      <w:r w:rsidRPr="00DB1A54">
        <w:rPr>
          <w:rFonts w:ascii="Arial" w:eastAsia="Arial Unicode MS" w:hAnsi="Arial" w:cs="Arial"/>
        </w:rPr>
        <w:t xml:space="preserve">Se instruye a la Secretaría General de Acuerdos de este Instituto, notifique el presente documento por los medios legales pertinentes, </w:t>
      </w:r>
      <w:r w:rsidR="003A1388" w:rsidRPr="00DB1A54">
        <w:rPr>
          <w:rFonts w:ascii="Arial" w:eastAsia="Arial Unicode MS" w:hAnsi="Arial" w:cs="Arial"/>
        </w:rPr>
        <w:t xml:space="preserve">con especial atención a la Dirección de Tecnologías de Transparencia y </w:t>
      </w:r>
      <w:r w:rsidR="004656BB" w:rsidRPr="00DB1A54">
        <w:rPr>
          <w:rFonts w:ascii="Arial" w:eastAsia="Arial Unicode MS" w:hAnsi="Arial" w:cs="Arial"/>
        </w:rPr>
        <w:t>a todas las áreas del Instituto.</w:t>
      </w:r>
    </w:p>
    <w:p w14:paraId="577697FB" w14:textId="77777777" w:rsidR="00DB377A" w:rsidRPr="00DB1A54" w:rsidRDefault="00DB377A" w:rsidP="00DB377A">
      <w:pPr>
        <w:jc w:val="both"/>
        <w:rPr>
          <w:rFonts w:ascii="Arial" w:eastAsia="Arial Unicode MS" w:hAnsi="Arial" w:cs="Arial"/>
        </w:rPr>
      </w:pPr>
    </w:p>
    <w:p w14:paraId="59D71CFF" w14:textId="77777777" w:rsidR="00DB377A" w:rsidRPr="00DB1A54" w:rsidRDefault="00DB377A" w:rsidP="00DB377A">
      <w:pPr>
        <w:jc w:val="both"/>
        <w:rPr>
          <w:rFonts w:ascii="Arial" w:eastAsia="Arial Unicode MS" w:hAnsi="Arial" w:cs="Arial"/>
        </w:rPr>
      </w:pPr>
      <w:r w:rsidRPr="00DB1A54">
        <w:rPr>
          <w:rFonts w:ascii="Arial" w:eastAsia="Arial Unicode MS" w:hAnsi="Arial" w:cs="Arial"/>
          <w:b/>
        </w:rPr>
        <w:t>TERCERO.</w:t>
      </w:r>
      <w:r w:rsidRPr="00DB1A54">
        <w:rPr>
          <w:rFonts w:ascii="Arial" w:eastAsia="Arial Unicode MS" w:hAnsi="Arial" w:cs="Arial"/>
        </w:rPr>
        <w:t xml:space="preserve"> Se ordena a la Dirección de Tecnologías de Transparencia de este Instituto, realice los ajustes pertinentes en los sistemas electrónicos correspondientes, a efecto de dar cumplimiento a lo aquí ordenado.</w:t>
      </w:r>
    </w:p>
    <w:p w14:paraId="7BB15F0F" w14:textId="77777777" w:rsidR="00DB377A" w:rsidRPr="00DB1A54" w:rsidRDefault="00DB377A" w:rsidP="00DB377A">
      <w:pPr>
        <w:spacing w:line="276" w:lineRule="auto"/>
        <w:jc w:val="both"/>
        <w:rPr>
          <w:rFonts w:ascii="Arial" w:eastAsia="Arial Unicode MS" w:hAnsi="Arial" w:cs="Arial"/>
        </w:rPr>
      </w:pPr>
    </w:p>
    <w:p w14:paraId="4E52295B" w14:textId="494F2C1C" w:rsidR="00DB377A" w:rsidRPr="00DB1A54" w:rsidRDefault="00DB377A" w:rsidP="00DB377A">
      <w:pPr>
        <w:spacing w:line="276" w:lineRule="auto"/>
        <w:jc w:val="both"/>
        <w:rPr>
          <w:rFonts w:ascii="Arial" w:eastAsia="Arial Unicode MS" w:hAnsi="Arial" w:cs="Arial"/>
        </w:rPr>
      </w:pPr>
      <w:r w:rsidRPr="00DB1A54">
        <w:rPr>
          <w:rFonts w:ascii="Arial" w:eastAsia="Arial Unicode MS" w:hAnsi="Arial" w:cs="Arial"/>
        </w:rPr>
        <w:t xml:space="preserve">Así lo acordaron y firman quienes integran el Consejo General del Instituto de Acceso a la Información Pública y Protección de Datos Personales, asistidos por la Secretaría General de Acuerdos quien autoriza y da fe, en la ciudad de Oaxaca de </w:t>
      </w:r>
      <w:r w:rsidRPr="007F71E9">
        <w:rPr>
          <w:rFonts w:ascii="Arial" w:eastAsia="Arial Unicode MS" w:hAnsi="Arial" w:cs="Arial"/>
        </w:rPr>
        <w:t xml:space="preserve">Juárez, Oaxaca, a los </w:t>
      </w:r>
      <w:r w:rsidR="007F71E9" w:rsidRPr="007F71E9">
        <w:rPr>
          <w:rFonts w:ascii="Arial" w:eastAsia="Arial Unicode MS" w:hAnsi="Arial" w:cs="Arial"/>
        </w:rPr>
        <w:t>15 días</w:t>
      </w:r>
      <w:r w:rsidRPr="007F71E9">
        <w:rPr>
          <w:rFonts w:ascii="Arial" w:eastAsia="Arial Unicode MS" w:hAnsi="Arial" w:cs="Arial"/>
        </w:rPr>
        <w:t xml:space="preserve"> del mes de junio del año dos mil veintiuno. Conste.</w:t>
      </w:r>
      <w:r w:rsidRPr="00DB1A54">
        <w:rPr>
          <w:rFonts w:ascii="Arial" w:eastAsia="Arial Unicode MS" w:hAnsi="Arial" w:cs="Arial"/>
        </w:rPr>
        <w:t xml:space="preserve"> </w:t>
      </w:r>
    </w:p>
    <w:p w14:paraId="41095982" w14:textId="77777777" w:rsidR="00DB377A" w:rsidRPr="00DB1A54" w:rsidRDefault="00DB377A" w:rsidP="00DB377A">
      <w:pPr>
        <w:spacing w:line="276" w:lineRule="auto"/>
        <w:jc w:val="both"/>
        <w:rPr>
          <w:rFonts w:ascii="Arial" w:eastAsia="Arial Unicode MS" w:hAnsi="Arial" w:cs="Arial"/>
        </w:rPr>
      </w:pPr>
    </w:p>
    <w:p w14:paraId="1EBB94B7" w14:textId="77777777" w:rsidR="00DB377A" w:rsidRPr="00DB1A54" w:rsidRDefault="00DB377A" w:rsidP="00DB377A">
      <w:pPr>
        <w:spacing w:line="276" w:lineRule="auto"/>
        <w:jc w:val="center"/>
        <w:rPr>
          <w:rFonts w:ascii="Arial" w:eastAsia="Arial Unicode MS" w:hAnsi="Arial" w:cs="Arial"/>
        </w:rPr>
      </w:pPr>
    </w:p>
    <w:p w14:paraId="35734A85" w14:textId="77777777" w:rsidR="00DB377A" w:rsidRPr="00DB1A54" w:rsidRDefault="00DB377A" w:rsidP="00DB377A">
      <w:pPr>
        <w:spacing w:line="276" w:lineRule="auto"/>
        <w:jc w:val="center"/>
        <w:rPr>
          <w:rFonts w:ascii="Arial" w:eastAsia="Arial Unicode MS" w:hAnsi="Arial" w:cs="Arial"/>
          <w:b/>
        </w:rPr>
      </w:pPr>
    </w:p>
    <w:p w14:paraId="22FE9B06" w14:textId="77777777" w:rsidR="00DB377A" w:rsidRPr="00DB1A54" w:rsidRDefault="00DB377A" w:rsidP="00DB377A">
      <w:pPr>
        <w:spacing w:line="276" w:lineRule="auto"/>
        <w:jc w:val="center"/>
        <w:rPr>
          <w:rFonts w:ascii="Arial" w:eastAsia="Arial Unicode MS" w:hAnsi="Arial" w:cs="Arial"/>
          <w:b/>
        </w:rPr>
      </w:pPr>
    </w:p>
    <w:p w14:paraId="1D44E4B5" w14:textId="77777777" w:rsidR="00DB377A" w:rsidRPr="00DB1A54" w:rsidRDefault="00DB377A" w:rsidP="00DB377A">
      <w:pPr>
        <w:spacing w:line="276" w:lineRule="auto"/>
        <w:jc w:val="center"/>
        <w:rPr>
          <w:rFonts w:ascii="Arial" w:eastAsia="Arial Unicode MS" w:hAnsi="Arial" w:cs="Arial"/>
          <w:b/>
        </w:rPr>
      </w:pPr>
      <w:r w:rsidRPr="00DB1A54">
        <w:rPr>
          <w:rFonts w:ascii="Arial" w:eastAsia="Arial Unicode MS" w:hAnsi="Arial" w:cs="Arial"/>
          <w:b/>
        </w:rPr>
        <w:t xml:space="preserve">Mtra. María Antonieta Velásquez Chagoya </w:t>
      </w:r>
    </w:p>
    <w:p w14:paraId="7706BE61" w14:textId="77777777" w:rsidR="00DB377A" w:rsidRPr="00DB1A54" w:rsidRDefault="00DB377A" w:rsidP="00DB377A">
      <w:pPr>
        <w:spacing w:line="276" w:lineRule="auto"/>
        <w:jc w:val="center"/>
        <w:rPr>
          <w:rFonts w:ascii="Arial" w:eastAsia="Arial Unicode MS" w:hAnsi="Arial" w:cs="Arial"/>
        </w:rPr>
      </w:pPr>
      <w:r w:rsidRPr="00DB1A54">
        <w:rPr>
          <w:rFonts w:ascii="Arial" w:eastAsia="Arial Unicode MS" w:hAnsi="Arial" w:cs="Arial"/>
        </w:rPr>
        <w:t>Comisionada Presidenta</w:t>
      </w:r>
    </w:p>
    <w:p w14:paraId="58C28C24" w14:textId="77777777" w:rsidR="00DB377A" w:rsidRPr="00DB1A54" w:rsidRDefault="00DB377A" w:rsidP="00DB377A">
      <w:pPr>
        <w:spacing w:line="276" w:lineRule="auto"/>
        <w:jc w:val="center"/>
        <w:rPr>
          <w:rFonts w:ascii="Arial" w:eastAsia="Arial Unicode MS" w:hAnsi="Arial" w:cs="Arial"/>
        </w:rPr>
      </w:pPr>
    </w:p>
    <w:p w14:paraId="3A87397D" w14:textId="77777777" w:rsidR="00DB377A" w:rsidRPr="00DB1A54" w:rsidRDefault="00DB377A" w:rsidP="00DB377A">
      <w:pPr>
        <w:spacing w:line="276" w:lineRule="auto"/>
        <w:jc w:val="center"/>
        <w:rPr>
          <w:rFonts w:ascii="Arial" w:eastAsia="Arial Unicode MS" w:hAnsi="Arial" w:cs="Arial"/>
        </w:rPr>
      </w:pPr>
    </w:p>
    <w:p w14:paraId="1C8DEC54" w14:textId="77777777" w:rsidR="00DB377A" w:rsidRPr="00DB1A54" w:rsidRDefault="00DB377A" w:rsidP="00DB377A">
      <w:pPr>
        <w:spacing w:line="276" w:lineRule="auto"/>
        <w:jc w:val="center"/>
        <w:rPr>
          <w:rFonts w:ascii="Arial" w:eastAsia="Arial Unicode MS" w:hAnsi="Arial" w:cs="Arial"/>
        </w:rPr>
      </w:pPr>
    </w:p>
    <w:p w14:paraId="70B54646" w14:textId="77777777" w:rsidR="00DB377A" w:rsidRPr="00DB1A54" w:rsidRDefault="00DB377A" w:rsidP="00DB377A">
      <w:pPr>
        <w:spacing w:line="276" w:lineRule="auto"/>
        <w:jc w:val="center"/>
        <w:rPr>
          <w:rFonts w:ascii="Arial" w:eastAsia="Arial Unicode MS" w:hAnsi="Arial" w:cs="Arial"/>
        </w:rPr>
      </w:pPr>
    </w:p>
    <w:p w14:paraId="7555F1C6" w14:textId="77777777" w:rsidR="00DB377A" w:rsidRPr="00DB1A54" w:rsidRDefault="00DB377A" w:rsidP="00DB377A">
      <w:pPr>
        <w:spacing w:line="276" w:lineRule="auto"/>
        <w:jc w:val="center"/>
        <w:rPr>
          <w:rFonts w:ascii="Arial" w:eastAsia="Arial Unicode MS" w:hAnsi="Arial" w:cs="Arial"/>
          <w:b/>
        </w:rPr>
      </w:pPr>
      <w:r w:rsidRPr="00DB1A54">
        <w:rPr>
          <w:rFonts w:ascii="Arial" w:eastAsia="Arial Unicode MS" w:hAnsi="Arial" w:cs="Arial"/>
          <w:b/>
        </w:rPr>
        <w:t>Lic. Fernando Rodolfo Gómez Cuevas</w:t>
      </w:r>
    </w:p>
    <w:p w14:paraId="7D292CFD" w14:textId="77777777" w:rsidR="00DB377A" w:rsidRPr="00DB1A54" w:rsidRDefault="00DB377A" w:rsidP="00DB377A">
      <w:pPr>
        <w:spacing w:line="276" w:lineRule="auto"/>
        <w:jc w:val="center"/>
        <w:rPr>
          <w:rFonts w:ascii="Arial" w:eastAsia="Arial Unicode MS" w:hAnsi="Arial" w:cs="Arial"/>
        </w:rPr>
      </w:pPr>
      <w:r w:rsidRPr="00DB1A54">
        <w:rPr>
          <w:rFonts w:ascii="Arial" w:eastAsia="Arial Unicode MS" w:hAnsi="Arial" w:cs="Arial"/>
        </w:rPr>
        <w:t>Comisionado</w:t>
      </w:r>
    </w:p>
    <w:p w14:paraId="2FAFF40D" w14:textId="77777777" w:rsidR="00DB377A" w:rsidRPr="00DB1A54" w:rsidRDefault="00DB377A" w:rsidP="00DB377A">
      <w:pPr>
        <w:spacing w:line="276" w:lineRule="auto"/>
        <w:jc w:val="center"/>
        <w:rPr>
          <w:rFonts w:ascii="Arial" w:eastAsia="Arial Unicode MS" w:hAnsi="Arial" w:cs="Arial"/>
        </w:rPr>
      </w:pPr>
    </w:p>
    <w:p w14:paraId="0C32603B" w14:textId="77777777" w:rsidR="00DB377A" w:rsidRPr="00DB1A54" w:rsidRDefault="00DB377A" w:rsidP="00DB377A">
      <w:pPr>
        <w:spacing w:line="276" w:lineRule="auto"/>
        <w:jc w:val="center"/>
        <w:rPr>
          <w:rFonts w:ascii="Arial" w:eastAsia="Arial Unicode MS" w:hAnsi="Arial" w:cs="Arial"/>
        </w:rPr>
      </w:pPr>
    </w:p>
    <w:p w14:paraId="0BB0205F" w14:textId="77777777" w:rsidR="00DB377A" w:rsidRPr="00DB1A54" w:rsidRDefault="00DB377A" w:rsidP="00DB377A">
      <w:pPr>
        <w:spacing w:line="276" w:lineRule="auto"/>
        <w:jc w:val="center"/>
        <w:rPr>
          <w:rFonts w:ascii="Arial" w:eastAsia="Arial Unicode MS" w:hAnsi="Arial" w:cs="Arial"/>
        </w:rPr>
      </w:pPr>
    </w:p>
    <w:p w14:paraId="03A2722E" w14:textId="77777777" w:rsidR="00DB377A" w:rsidRPr="00DB1A54" w:rsidRDefault="00DB377A" w:rsidP="00DB377A">
      <w:pPr>
        <w:spacing w:line="276" w:lineRule="auto"/>
        <w:jc w:val="center"/>
        <w:rPr>
          <w:rFonts w:ascii="Arial" w:eastAsia="Arial Unicode MS" w:hAnsi="Arial" w:cs="Arial"/>
          <w:b/>
        </w:rPr>
      </w:pPr>
      <w:r w:rsidRPr="00DB1A54">
        <w:rPr>
          <w:rFonts w:ascii="Arial" w:eastAsia="Arial Unicode MS" w:hAnsi="Arial" w:cs="Arial"/>
          <w:b/>
        </w:rPr>
        <w:t>Lic. Guadalupe Gustavo Díaz Altamirano</w:t>
      </w:r>
    </w:p>
    <w:p w14:paraId="0A0311C6" w14:textId="77777777" w:rsidR="00DB377A" w:rsidRPr="00DB1A54" w:rsidRDefault="00DB377A" w:rsidP="00DB377A">
      <w:pPr>
        <w:spacing w:line="276" w:lineRule="auto"/>
        <w:jc w:val="center"/>
        <w:rPr>
          <w:rFonts w:ascii="Arial" w:eastAsia="Arial Unicode MS" w:hAnsi="Arial" w:cs="Arial"/>
        </w:rPr>
      </w:pPr>
      <w:r w:rsidRPr="00DB1A54">
        <w:rPr>
          <w:rFonts w:ascii="Arial" w:eastAsia="Arial Unicode MS" w:hAnsi="Arial" w:cs="Arial"/>
        </w:rPr>
        <w:t>Secretario General de Acuerdos</w:t>
      </w:r>
    </w:p>
    <w:p w14:paraId="7B535D40" w14:textId="5627FE37" w:rsidR="00CE37A0" w:rsidRPr="00DB1A54" w:rsidRDefault="00CE37A0" w:rsidP="00CE37A0">
      <w:pPr>
        <w:tabs>
          <w:tab w:val="left" w:pos="2244"/>
        </w:tabs>
        <w:rPr>
          <w:rFonts w:ascii="Arial" w:hAnsi="Arial" w:cs="Arial"/>
        </w:rPr>
      </w:pPr>
    </w:p>
    <w:p w14:paraId="4BAFC9AE" w14:textId="77777777" w:rsidR="00984F42" w:rsidRPr="00DB1A54" w:rsidRDefault="00984F42" w:rsidP="00CE37A0">
      <w:pPr>
        <w:tabs>
          <w:tab w:val="left" w:pos="2244"/>
        </w:tabs>
        <w:rPr>
          <w:rFonts w:ascii="Arial" w:hAnsi="Arial" w:cs="Arial"/>
        </w:rPr>
      </w:pPr>
    </w:p>
    <w:p w14:paraId="7E802E1D" w14:textId="77777777" w:rsidR="00984F42" w:rsidRDefault="00984F42" w:rsidP="00CE37A0">
      <w:pPr>
        <w:tabs>
          <w:tab w:val="left" w:pos="2244"/>
        </w:tabs>
        <w:rPr>
          <w:rFonts w:ascii="Arial" w:hAnsi="Arial" w:cs="Arial"/>
        </w:rPr>
      </w:pPr>
    </w:p>
    <w:p w14:paraId="5D857693" w14:textId="77777777" w:rsidR="00C96E7D" w:rsidRDefault="00C96E7D" w:rsidP="00CE37A0">
      <w:pPr>
        <w:tabs>
          <w:tab w:val="left" w:pos="2244"/>
        </w:tabs>
        <w:rPr>
          <w:rFonts w:ascii="Arial" w:hAnsi="Arial" w:cs="Arial"/>
        </w:rPr>
      </w:pPr>
    </w:p>
    <w:p w14:paraId="6422C589" w14:textId="77777777" w:rsidR="00C96E7D" w:rsidRDefault="00C96E7D" w:rsidP="00CE37A0">
      <w:pPr>
        <w:tabs>
          <w:tab w:val="left" w:pos="2244"/>
        </w:tabs>
        <w:rPr>
          <w:rFonts w:ascii="Arial" w:hAnsi="Arial" w:cs="Arial"/>
        </w:rPr>
      </w:pPr>
    </w:p>
    <w:p w14:paraId="6AD1CD9D" w14:textId="2A7670B6" w:rsidR="007F71E9" w:rsidRPr="00C96E7D" w:rsidRDefault="007F71E9" w:rsidP="007F71E9">
      <w:pPr>
        <w:jc w:val="both"/>
        <w:rPr>
          <w:rFonts w:ascii="Arial" w:eastAsia="Arial Unicode MS" w:hAnsi="Arial" w:cs="Arial"/>
        </w:rPr>
      </w:pPr>
      <w:r w:rsidRPr="00C96E7D">
        <w:rPr>
          <w:rFonts w:ascii="Arial" w:hAnsi="Arial" w:cs="Arial"/>
        </w:rPr>
        <w:t xml:space="preserve">Estas firmas pertenecen al </w:t>
      </w:r>
      <w:r w:rsidR="00C96E7D" w:rsidRPr="00C96E7D">
        <w:rPr>
          <w:rFonts w:ascii="Arial" w:eastAsia="Arial Unicode MS" w:hAnsi="Arial" w:cs="Arial"/>
        </w:rPr>
        <w:t>acuerdo</w:t>
      </w:r>
      <w:r w:rsidRPr="00C96E7D">
        <w:rPr>
          <w:rFonts w:ascii="Arial" w:eastAsia="Arial Unicode MS" w:hAnsi="Arial" w:cs="Arial"/>
        </w:rPr>
        <w:t xml:space="preserve"> ACDO/CG/IAIP/044/2021 </w:t>
      </w:r>
      <w:r w:rsidR="00C96E7D" w:rsidRPr="00C96E7D">
        <w:rPr>
          <w:rFonts w:ascii="Arial" w:eastAsia="Arial Unicode MS" w:hAnsi="Arial" w:cs="Arial"/>
        </w:rPr>
        <w:t>mediante el cual se ap</w:t>
      </w:r>
      <w:r w:rsidR="00C96E7D">
        <w:rPr>
          <w:rFonts w:ascii="Arial" w:eastAsia="Arial Unicode MS" w:hAnsi="Arial" w:cs="Arial"/>
        </w:rPr>
        <w:t>rueba el dictamen que emite la Dirección de Asuntos Jurídicos del Instituto de A</w:t>
      </w:r>
      <w:r w:rsidR="00C96E7D" w:rsidRPr="00C96E7D">
        <w:rPr>
          <w:rFonts w:ascii="Arial" w:eastAsia="Arial Unicode MS" w:hAnsi="Arial" w:cs="Arial"/>
        </w:rPr>
        <w:t xml:space="preserve">cceso a la </w:t>
      </w:r>
      <w:r w:rsidR="00C96E7D">
        <w:rPr>
          <w:rFonts w:ascii="Arial" w:eastAsia="Arial Unicode MS" w:hAnsi="Arial" w:cs="Arial"/>
        </w:rPr>
        <w:t>Información Pública y Protección de Datos P</w:t>
      </w:r>
      <w:r w:rsidR="00C96E7D" w:rsidRPr="00C96E7D">
        <w:rPr>
          <w:rFonts w:ascii="Arial" w:eastAsia="Arial Unicode MS" w:hAnsi="Arial" w:cs="Arial"/>
        </w:rPr>
        <w:t>ersonales, para la validación de la actualización del pad</w:t>
      </w:r>
      <w:r w:rsidR="00C96E7D">
        <w:rPr>
          <w:rFonts w:ascii="Arial" w:eastAsia="Arial Unicode MS" w:hAnsi="Arial" w:cs="Arial"/>
        </w:rPr>
        <w:t>rón de sujetos obligados de la E</w:t>
      </w:r>
      <w:r w:rsidR="00C96E7D" w:rsidRPr="00C96E7D">
        <w:rPr>
          <w:rFonts w:ascii="Arial" w:eastAsia="Arial Unicode MS" w:hAnsi="Arial" w:cs="Arial"/>
        </w:rPr>
        <w:t>ntidad.</w:t>
      </w:r>
    </w:p>
    <w:p w14:paraId="1B680D88" w14:textId="01DBDD9F" w:rsidR="007F71E9" w:rsidRPr="00DB1A54" w:rsidRDefault="007F71E9" w:rsidP="00CE37A0">
      <w:pPr>
        <w:tabs>
          <w:tab w:val="left" w:pos="2244"/>
        </w:tabs>
        <w:rPr>
          <w:rFonts w:ascii="Arial" w:hAnsi="Arial" w:cs="Arial"/>
        </w:rPr>
      </w:pPr>
    </w:p>
    <w:sectPr w:rsidR="007F71E9" w:rsidRPr="00DB1A54" w:rsidSect="00C96E7D">
      <w:headerReference w:type="default" r:id="rId8"/>
      <w:footerReference w:type="default" r:id="rId9"/>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E47F6" w14:textId="77777777" w:rsidR="00BE44D8" w:rsidRDefault="00BE44D8" w:rsidP="00505074">
      <w:r>
        <w:separator/>
      </w:r>
    </w:p>
  </w:endnote>
  <w:endnote w:type="continuationSeparator" w:id="0">
    <w:p w14:paraId="7CFB752A" w14:textId="77777777" w:rsidR="00BE44D8" w:rsidRDefault="00BE44D8"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D2423" w14:textId="307E22BB" w:rsidR="00505074" w:rsidRDefault="00DC65C4">
    <w:pPr>
      <w:pStyle w:val="Piedepgina"/>
    </w:pPr>
    <w:r>
      <w:rPr>
        <w:noProof/>
        <w:lang w:eastAsia="es-MX"/>
      </w:rPr>
      <w:drawing>
        <wp:anchor distT="0" distB="0" distL="114300" distR="114300" simplePos="0" relativeHeight="251673600" behindDoc="0" locked="0" layoutInCell="1" allowOverlap="1" wp14:anchorId="72073A4B" wp14:editId="76350F4F">
          <wp:simplePos x="0" y="0"/>
          <wp:positionH relativeFrom="margin">
            <wp:posOffset>2980372</wp:posOffset>
          </wp:positionH>
          <wp:positionV relativeFrom="paragraph">
            <wp:posOffset>-6020752</wp:posOffset>
          </wp:positionV>
          <wp:extent cx="6355023" cy="1059555"/>
          <wp:effectExtent l="6033" t="0" r="1587" b="1588"/>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
                    <a:extLst>
                      <a:ext uri="{28A0092B-C50C-407E-A947-70E740481C1C}">
                        <a14:useLocalDpi xmlns:a14="http://schemas.microsoft.com/office/drawing/2010/main" val="0"/>
                      </a:ext>
                    </a:extLst>
                  </a:blip>
                  <a:stretch>
                    <a:fillRect/>
                  </a:stretch>
                </pic:blipFill>
                <pic:spPr>
                  <a:xfrm rot="16200000">
                    <a:off x="0" y="0"/>
                    <a:ext cx="6355023" cy="10595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1B7D84" w14:textId="77777777" w:rsidR="00BE44D8" w:rsidRDefault="00BE44D8" w:rsidP="00505074">
      <w:r>
        <w:separator/>
      </w:r>
    </w:p>
  </w:footnote>
  <w:footnote w:type="continuationSeparator" w:id="0">
    <w:p w14:paraId="2D95F63D" w14:textId="77777777" w:rsidR="00BE44D8" w:rsidRDefault="00BE44D8" w:rsidP="00505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3F284" w14:textId="72F515D9" w:rsidR="00DC65C4" w:rsidRDefault="00DC65C4">
    <w:pPr>
      <w:pStyle w:val="Encabezado"/>
    </w:pPr>
    <w:r>
      <w:rPr>
        <w:rFonts w:ascii="Open Sans" w:eastAsia="Times New Roman" w:hAnsi="Open Sans" w:cs="Open Sans"/>
        <w:noProof/>
        <w:color w:val="000000"/>
        <w:sz w:val="21"/>
        <w:szCs w:val="21"/>
        <w:lang w:eastAsia="es-MX"/>
      </w:rPr>
      <w:drawing>
        <wp:anchor distT="0" distB="0" distL="114300" distR="114300" simplePos="0" relativeHeight="251672576" behindDoc="0" locked="0" layoutInCell="1" allowOverlap="1" wp14:anchorId="3F541A32" wp14:editId="2B46CCB5">
          <wp:simplePos x="0" y="0"/>
          <wp:positionH relativeFrom="margin">
            <wp:posOffset>-374015</wp:posOffset>
          </wp:positionH>
          <wp:positionV relativeFrom="paragraph">
            <wp:posOffset>-312390</wp:posOffset>
          </wp:positionV>
          <wp:extent cx="6355023" cy="1059555"/>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6355023" cy="10595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17D62"/>
    <w:multiLevelType w:val="hybridMultilevel"/>
    <w:tmpl w:val="910E46A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75AB7"/>
    <w:rsid w:val="00150315"/>
    <w:rsid w:val="00191709"/>
    <w:rsid w:val="001C1CA8"/>
    <w:rsid w:val="001C3A24"/>
    <w:rsid w:val="001C5977"/>
    <w:rsid w:val="001D30EE"/>
    <w:rsid w:val="001D5E54"/>
    <w:rsid w:val="00217284"/>
    <w:rsid w:val="00314375"/>
    <w:rsid w:val="00320B59"/>
    <w:rsid w:val="0037163E"/>
    <w:rsid w:val="003A1388"/>
    <w:rsid w:val="003F7C21"/>
    <w:rsid w:val="004656BB"/>
    <w:rsid w:val="004F00E4"/>
    <w:rsid w:val="00505074"/>
    <w:rsid w:val="005B1F93"/>
    <w:rsid w:val="005F7D84"/>
    <w:rsid w:val="0061401C"/>
    <w:rsid w:val="006647D2"/>
    <w:rsid w:val="006E454A"/>
    <w:rsid w:val="007F71E9"/>
    <w:rsid w:val="00801920"/>
    <w:rsid w:val="0080781D"/>
    <w:rsid w:val="008954D5"/>
    <w:rsid w:val="008E23A4"/>
    <w:rsid w:val="00912C3C"/>
    <w:rsid w:val="00920943"/>
    <w:rsid w:val="00984F42"/>
    <w:rsid w:val="00A41499"/>
    <w:rsid w:val="00A56332"/>
    <w:rsid w:val="00AE26A6"/>
    <w:rsid w:val="00BE44D8"/>
    <w:rsid w:val="00C07082"/>
    <w:rsid w:val="00C25E29"/>
    <w:rsid w:val="00C335F7"/>
    <w:rsid w:val="00C96E7D"/>
    <w:rsid w:val="00CB7833"/>
    <w:rsid w:val="00CE37A0"/>
    <w:rsid w:val="00D96B13"/>
    <w:rsid w:val="00DB1A54"/>
    <w:rsid w:val="00DB377A"/>
    <w:rsid w:val="00DC1402"/>
    <w:rsid w:val="00DC65C4"/>
    <w:rsid w:val="00E65B93"/>
    <w:rsid w:val="00EC4C7D"/>
    <w:rsid w:val="00EE48C4"/>
    <w:rsid w:val="00F023FE"/>
    <w:rsid w:val="00F36284"/>
    <w:rsid w:val="00F5161B"/>
    <w:rsid w:val="00F56F58"/>
    <w:rsid w:val="00F702FB"/>
    <w:rsid w:val="00F854FE"/>
    <w:rsid w:val="00F931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695568834">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DBD40-479F-466B-92EE-8718E5AAF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1011</Words>
  <Characters>5562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JURIDICO IAIP</cp:lastModifiedBy>
  <cp:revision>3</cp:revision>
  <cp:lastPrinted>2021-06-11T22:56:00Z</cp:lastPrinted>
  <dcterms:created xsi:type="dcterms:W3CDTF">2021-06-11T22:41:00Z</dcterms:created>
  <dcterms:modified xsi:type="dcterms:W3CDTF">2021-06-11T22:57:00Z</dcterms:modified>
</cp:coreProperties>
</file>