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DEDF" w14:textId="0A7DB0CB" w:rsidR="00F854FE" w:rsidRPr="00ED421C" w:rsidRDefault="00F854FE" w:rsidP="00ED421C">
      <w:pPr>
        <w:shd w:val="clear" w:color="auto" w:fill="FFFFFF"/>
        <w:spacing w:after="225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  <w:lang w:eastAsia="es-MX"/>
        </w:rPr>
      </w:pPr>
    </w:p>
    <w:p w14:paraId="79EFE244" w14:textId="2B90F4AE" w:rsidR="00AC2B90" w:rsidRPr="0037474E" w:rsidRDefault="006D31F1" w:rsidP="00ED421C">
      <w:pPr>
        <w:jc w:val="righ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ACUERDO ACDO/CG/IAIP/0</w:t>
      </w:r>
      <w:r w:rsidR="008E4C10" w:rsidRPr="0037474E">
        <w:rPr>
          <w:rFonts w:ascii="Arial Unicode MS" w:eastAsia="Arial Unicode MS" w:hAnsi="Arial Unicode MS" w:cs="Arial Unicode MS"/>
          <w:b/>
          <w:sz w:val="22"/>
          <w:szCs w:val="22"/>
        </w:rPr>
        <w:t>6</w:t>
      </w:r>
      <w:r w:rsidR="00DC0FCE" w:rsidRPr="0037474E">
        <w:rPr>
          <w:rFonts w:ascii="Arial Unicode MS" w:eastAsia="Arial Unicode MS" w:hAnsi="Arial Unicode MS" w:cs="Arial Unicode MS"/>
          <w:b/>
          <w:sz w:val="22"/>
          <w:szCs w:val="22"/>
        </w:rPr>
        <w:t>6</w:t>
      </w: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/202</w:t>
      </w:r>
      <w:r w:rsidR="00DC0FCE" w:rsidRPr="0037474E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bookmarkStart w:id="0" w:name="_Hlk79743831"/>
    </w:p>
    <w:p w14:paraId="73078D87" w14:textId="77777777" w:rsidR="004354FD" w:rsidRPr="0037474E" w:rsidRDefault="004354FD" w:rsidP="00ED421C">
      <w:pPr>
        <w:jc w:val="right"/>
        <w:rPr>
          <w:rFonts w:ascii="Arial Unicode MS" w:eastAsia="Arial Unicode MS" w:hAnsi="Arial Unicode MS" w:cs="Arial Unicode MS"/>
          <w:b/>
          <w:sz w:val="22"/>
          <w:szCs w:val="22"/>
        </w:rPr>
      </w:pPr>
    </w:p>
    <w:bookmarkEnd w:id="0"/>
    <w:p w14:paraId="505C69D2" w14:textId="309369D7" w:rsidR="004354FD" w:rsidRPr="0037474E" w:rsidRDefault="009B4013" w:rsidP="00ED421C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ACUERDO POR EL CUAL EL CONSEJO GENERAL DEL INSTITUTO DE ACCESO A LA INFORMACIÓN PÚBLICA Y PROTECCIÓN DE DATOS PERSONALES, APRUEBA EL SISTEMA DE SOLICITUDES DE ACCESO A LA INFORMACIÓN EN SU VERSIÓN 2.0 (SISAI 2.0</w:t>
      </w:r>
      <w:proofErr w:type="gramStart"/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) ,</w:t>
      </w:r>
      <w:proofErr w:type="gramEnd"/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 xml:space="preserve"> COMO MEDIO PARA LA PRESENTACIÓN Y SUSTANCIACIÓN  DE ESTAS Y APRUEBA EL CIERRE DE PRESENTACIÓN DE SOLICITUDES A TRAVÉS DEL SISTEMA INFOMEX OAXACA. </w:t>
      </w:r>
    </w:p>
    <w:p w14:paraId="045490C2" w14:textId="77777777" w:rsidR="004354FD" w:rsidRPr="0037474E" w:rsidRDefault="004354FD" w:rsidP="00ED421C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D87C099" w14:textId="77777777" w:rsidR="00FA3485" w:rsidRPr="0037474E" w:rsidRDefault="004354FD" w:rsidP="00ED421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ANTECEDENTES:</w:t>
      </w:r>
    </w:p>
    <w:p w14:paraId="7C4A3671" w14:textId="77777777" w:rsidR="00FA3485" w:rsidRPr="0037474E" w:rsidRDefault="00FA3485" w:rsidP="00ED421C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70C9E963" w14:textId="14B2AC1E" w:rsidR="004354FD" w:rsidRPr="0037474E" w:rsidRDefault="004354FD" w:rsidP="00ED421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 xml:space="preserve">Primero. 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Que el Consejo Nacional del Sistema Nacional de Transparencia, Acceso a la Información Pública y Protección de Datos Personales aprobó los “</w:t>
      </w:r>
      <w:r w:rsidRPr="0037474E">
        <w:rPr>
          <w:rFonts w:ascii="Arial Unicode MS" w:eastAsia="Arial Unicode MS" w:hAnsi="Arial Unicode MS" w:cs="Arial Unicode MS"/>
          <w:bCs/>
          <w:i/>
          <w:iCs/>
          <w:sz w:val="22"/>
          <w:szCs w:val="22"/>
        </w:rPr>
        <w:t>Lineamientos para la implementación y operación de la Plataforma Nacional de Transparencia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” publicados en el Diario Oficial de la Federación el </w:t>
      </w:r>
      <w:r w:rsidR="00F86FD5" w:rsidRPr="0037474E">
        <w:rPr>
          <w:rFonts w:ascii="Arial Unicode MS" w:eastAsia="Arial Unicode MS" w:hAnsi="Arial Unicode MS" w:cs="Arial Unicode MS"/>
          <w:bCs/>
          <w:sz w:val="22"/>
          <w:szCs w:val="22"/>
        </w:rPr>
        <w:t>cuatro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de mayo de </w:t>
      </w:r>
      <w:r w:rsidR="00F86FD5" w:rsidRPr="0037474E">
        <w:rPr>
          <w:rFonts w:ascii="Arial Unicode MS" w:eastAsia="Arial Unicode MS" w:hAnsi="Arial Unicode MS" w:cs="Arial Unicode MS"/>
          <w:bCs/>
          <w:sz w:val="22"/>
          <w:szCs w:val="22"/>
        </w:rPr>
        <w:t>dos mil dieciséis.</w:t>
      </w:r>
    </w:p>
    <w:p w14:paraId="0D0B7C98" w14:textId="77777777" w:rsidR="004354FD" w:rsidRPr="0037474E" w:rsidRDefault="004354FD" w:rsidP="00ED421C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D62447A" w14:textId="7A79A7AF" w:rsidR="00185FFF" w:rsidRPr="0037474E" w:rsidRDefault="004354FD" w:rsidP="00ED421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 xml:space="preserve">Segundo. 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Que</w:t>
      </w:r>
      <w:r w:rsidR="00B819BA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con fecha cinco de mayo de dos mil dieciséis</w:t>
      </w:r>
      <w:r w:rsidR="00CD1C24" w:rsidRPr="0037474E">
        <w:rPr>
          <w:rFonts w:ascii="Arial Unicode MS" w:eastAsia="Arial Unicode MS" w:hAnsi="Arial Unicode MS" w:cs="Arial Unicode MS"/>
          <w:bCs/>
          <w:sz w:val="22"/>
          <w:szCs w:val="22"/>
        </w:rPr>
        <w:t>,</w:t>
      </w:r>
      <w:r w:rsidR="00B819BA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inició operaciones a nivel nacional</w:t>
      </w:r>
      <w:r w:rsidR="00CD1C24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la 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Plataforma Nacional de Transparencia</w:t>
      </w:r>
      <w:r w:rsidR="00185FFF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, como 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instrumento informático a través del cual se ejerce</w:t>
      </w:r>
      <w:r w:rsidR="009968F7" w:rsidRPr="0037474E">
        <w:rPr>
          <w:rFonts w:ascii="Arial Unicode MS" w:eastAsia="Arial Unicode MS" w:hAnsi="Arial Unicode MS" w:cs="Arial Unicode MS"/>
          <w:bCs/>
          <w:sz w:val="22"/>
          <w:szCs w:val="22"/>
        </w:rPr>
        <w:t>n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los derechos de acceso a la información y de protección de datos personales en posesión de los Sujetos obligados</w:t>
      </w:r>
      <w:r w:rsidR="00185FFF" w:rsidRPr="0037474E">
        <w:rPr>
          <w:rFonts w:ascii="Arial Unicode MS" w:eastAsia="Arial Unicode MS" w:hAnsi="Arial Unicode MS" w:cs="Arial Unicode MS"/>
          <w:bCs/>
          <w:sz w:val="22"/>
          <w:szCs w:val="22"/>
        </w:rPr>
        <w:t>.</w:t>
      </w:r>
    </w:p>
    <w:p w14:paraId="791B9C4C" w14:textId="0378690A" w:rsidR="004354FD" w:rsidRPr="0037474E" w:rsidRDefault="004354FD" w:rsidP="00ED421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</w:p>
    <w:p w14:paraId="33480313" w14:textId="4E005B1E" w:rsidR="004354FD" w:rsidRPr="0037474E" w:rsidRDefault="004354FD" w:rsidP="00ED421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 xml:space="preserve">Tercero. </w:t>
      </w:r>
      <w:r w:rsidR="00185FFF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Que con 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fecha tres de junio de dos mil</w:t>
      </w:r>
      <w:r w:rsidR="00417D2B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dieciséis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, mediante la Segunda Sesión Extraordinaria, derivado las fallas presentadas en la Plataforma Nacional de Transparencia, el Consejo General del Instituto de Acceso a la Información Pública y Protección de Datos Personales, del Estado de Oaxaca aprobó el “</w:t>
      </w:r>
      <w:r w:rsidRPr="0037474E">
        <w:rPr>
          <w:rFonts w:ascii="Arial Unicode MS" w:eastAsia="Arial Unicode MS" w:hAnsi="Arial Unicode MS" w:cs="Arial Unicode MS"/>
          <w:bCs/>
          <w:i/>
          <w:iCs/>
          <w:sz w:val="22"/>
          <w:szCs w:val="22"/>
        </w:rPr>
        <w:t>Acuerdo por el que se habilita el Sistema INFOMEX-OAXACA como vía alterna para la presentación y trámite de Solicitudes de Acceso a la Información Pública y se determina la ampliación del plazo de respuesta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”.</w:t>
      </w:r>
    </w:p>
    <w:p w14:paraId="6CAAC64B" w14:textId="77777777" w:rsidR="004354FD" w:rsidRPr="0037474E" w:rsidRDefault="004354FD" w:rsidP="00ED421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6E8615A4" w14:textId="47B4FC01" w:rsidR="004354FD" w:rsidRPr="0037474E" w:rsidRDefault="004354FD" w:rsidP="00ED421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 xml:space="preserve">Cuarto. 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Con fecha treinta de octubre de dos mil dieciocho, mediante la Décima Cuarta Ordinaria, el Consejo General del Instituto de Acceso a la Información Pública y Protección de Datos Personales, del Estado de Oaxaca aprobó el “A</w:t>
      </w:r>
      <w:r w:rsidRPr="0037474E">
        <w:rPr>
          <w:rFonts w:ascii="Arial Unicode MS" w:eastAsia="Arial Unicode MS" w:hAnsi="Arial Unicode MS" w:cs="Arial Unicode MS"/>
          <w:bCs/>
          <w:i/>
          <w:iCs/>
          <w:sz w:val="22"/>
          <w:szCs w:val="22"/>
        </w:rPr>
        <w:t>cuerdo que emite el Consejo General del Instituto de Acceso a la Información Pública y Protección de Datos Personales, para la activación del sistema de Comunicación entre Organismos Garantes y Sujetos Obligados (SICOM), en la Plataforma Nacional de Transparencia (PNT)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”.</w:t>
      </w:r>
    </w:p>
    <w:p w14:paraId="28F93216" w14:textId="77777777" w:rsidR="004354FD" w:rsidRPr="0037474E" w:rsidRDefault="004354FD" w:rsidP="00ED421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F19BDEF" w14:textId="476140F4" w:rsidR="00BA499D" w:rsidRPr="0037474E" w:rsidRDefault="00BA499D" w:rsidP="00ED421C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Quinto. 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Con fecha treinta de junio de dos mil veinte, mediante la Décima Primera Ordinaria, el Consejo General del Instituto de Acceso a la Información Pública y Protección de Datos Personales, del Estado de Oaxaca, de conformidad con lo establecido en los artículos 16, 17, 18, 25 y 26 de la Ley General de Protección de Datos Personales en Posesión de Sujetos Obligados; 09, 10, 11, 14 y 19 de la Ley 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lastRenderedPageBreak/>
        <w:t xml:space="preserve">de Protección de Datos Personales en Posesión de Sujetos Obligados del Estado de Oaxaca; 69, 87 fracciones I, III inciso a), VI incisos a) y b), y 97 fracciones XI, XV y XVII de la Ley de Transparencia y Acceso a la Información Pública para el Estado de Oaxaca; y 16 fracción I, incisos b), e), j), k), y o) del Reglamento Interno del Instituto de Acceso a la Información Pública y Protección de Datos Personales del Estado de Oaxaca, aprobó el “Aviso de Privacidad - Constancias de generación de claves de usuario y contraseña del Sistema </w:t>
      </w:r>
      <w:proofErr w:type="spellStart"/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lnfomex</w:t>
      </w:r>
      <w:proofErr w:type="spellEnd"/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, Plataforma Nacional de Transparencia y Sistema de Transparencia Municipal; así como Directorio de Sujetos Obligados”.</w:t>
      </w:r>
    </w:p>
    <w:p w14:paraId="5BFF38B5" w14:textId="77777777" w:rsidR="00BA499D" w:rsidRPr="0037474E" w:rsidRDefault="00BA499D" w:rsidP="00ED421C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14:paraId="0D2A7B4C" w14:textId="53AC303C" w:rsidR="00B355A8" w:rsidRPr="0037474E" w:rsidRDefault="00BA499D" w:rsidP="00ED421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Sexto.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354FD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Que mediante la </w:t>
      </w:r>
      <w:r w:rsidR="004354FD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Segunda Sesión Ordinaria del año </w:t>
      </w:r>
      <w:r w:rsidR="00F86FD5" w:rsidRPr="0037474E">
        <w:rPr>
          <w:rFonts w:ascii="Arial Unicode MS" w:eastAsia="Arial Unicode MS" w:hAnsi="Arial Unicode MS" w:cs="Arial Unicode MS"/>
          <w:bCs/>
          <w:sz w:val="22"/>
          <w:szCs w:val="22"/>
        </w:rPr>
        <w:t>dos mil veintiuno</w:t>
      </w:r>
      <w:r w:rsidR="00137780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4354FD" w:rsidRPr="0037474E">
        <w:rPr>
          <w:rFonts w:ascii="Arial Unicode MS" w:eastAsia="Arial Unicode MS" w:hAnsi="Arial Unicode MS" w:cs="Arial Unicode MS"/>
          <w:bCs/>
          <w:sz w:val="22"/>
          <w:szCs w:val="22"/>
        </w:rPr>
        <w:t>del Consejo Nacional del Sistema Nacional de Transparencia, Acceso a la Información Pública y Protección de Datos Personales</w:t>
      </w:r>
      <w:r w:rsidR="006A335F" w:rsidRPr="0037474E">
        <w:rPr>
          <w:rFonts w:ascii="Arial Unicode MS" w:eastAsia="Arial Unicode MS" w:hAnsi="Arial Unicode MS" w:cs="Arial Unicode MS"/>
          <w:bCs/>
          <w:sz w:val="22"/>
          <w:szCs w:val="22"/>
        </w:rPr>
        <w:t>,</w:t>
      </w:r>
      <w:r w:rsidR="00137780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celebrada el nueve de julio del presente año</w:t>
      </w:r>
      <w:r w:rsidR="006A335F" w:rsidRPr="0037474E">
        <w:rPr>
          <w:rFonts w:ascii="Arial Unicode MS" w:eastAsia="Arial Unicode MS" w:hAnsi="Arial Unicode MS" w:cs="Arial Unicode MS"/>
          <w:bCs/>
          <w:sz w:val="22"/>
          <w:szCs w:val="22"/>
        </w:rPr>
        <w:t>,</w:t>
      </w:r>
      <w:r w:rsidR="00137780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4354FD" w:rsidRPr="0037474E">
        <w:rPr>
          <w:rFonts w:ascii="Arial Unicode MS" w:eastAsia="Arial Unicode MS" w:hAnsi="Arial Unicode MS" w:cs="Arial Unicode MS"/>
          <w:bCs/>
          <w:sz w:val="22"/>
          <w:szCs w:val="22"/>
        </w:rPr>
        <w:t>aprobó</w:t>
      </w:r>
      <w:r w:rsidR="006A335F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4354FD" w:rsidRPr="0037474E">
        <w:rPr>
          <w:rFonts w:ascii="Arial Unicode MS" w:eastAsia="Arial Unicode MS" w:hAnsi="Arial Unicode MS" w:cs="Arial Unicode MS"/>
          <w:bCs/>
          <w:sz w:val="22"/>
          <w:szCs w:val="22"/>
        </w:rPr>
        <w:t>el “</w:t>
      </w:r>
      <w:r w:rsidR="004354FD" w:rsidRPr="0037474E">
        <w:rPr>
          <w:rFonts w:ascii="Arial Unicode MS" w:eastAsia="Arial Unicode MS" w:hAnsi="Arial Unicode MS" w:cs="Arial Unicode MS"/>
          <w:bCs/>
          <w:i/>
          <w:iCs/>
          <w:sz w:val="22"/>
          <w:szCs w:val="22"/>
        </w:rPr>
        <w:t>Acuerdo por el que se emiten los Nuevos Lineamientos de la Funcionalidad, Operación y Mejoras de la Plataforma Nacional de Transparencia y se abrogan los Lineamientos para la implementación y operación de la Plataforma Nacional de Transparencia” publicados originalmente en el Diario Oficial de la Federación el 4 de mayo de 2016</w:t>
      </w:r>
      <w:r w:rsidR="004354FD" w:rsidRPr="0037474E">
        <w:rPr>
          <w:rFonts w:ascii="Arial Unicode MS" w:eastAsia="Arial Unicode MS" w:hAnsi="Arial Unicode MS" w:cs="Arial Unicode MS"/>
          <w:bCs/>
          <w:sz w:val="22"/>
          <w:szCs w:val="22"/>
        </w:rPr>
        <w:t>”, mismo que fue publicado en el Diario Oficial de la Federación el trece de agosto de dos mil veint</w:t>
      </w:r>
      <w:r w:rsidR="002919FD" w:rsidRPr="0037474E">
        <w:rPr>
          <w:rFonts w:ascii="Arial Unicode MS" w:eastAsia="Arial Unicode MS" w:hAnsi="Arial Unicode MS" w:cs="Arial Unicode MS"/>
          <w:bCs/>
          <w:sz w:val="22"/>
          <w:szCs w:val="22"/>
        </w:rPr>
        <w:t>i</w:t>
      </w:r>
      <w:r w:rsidR="004354FD" w:rsidRPr="0037474E">
        <w:rPr>
          <w:rFonts w:ascii="Arial Unicode MS" w:eastAsia="Arial Unicode MS" w:hAnsi="Arial Unicode MS" w:cs="Arial Unicode MS"/>
          <w:bCs/>
          <w:sz w:val="22"/>
          <w:szCs w:val="22"/>
        </w:rPr>
        <w:t>uno</w:t>
      </w:r>
      <w:r w:rsidR="002919FD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. </w:t>
      </w:r>
    </w:p>
    <w:p w14:paraId="379EE572" w14:textId="4A793145" w:rsidR="005206A9" w:rsidRPr="0037474E" w:rsidRDefault="005206A9" w:rsidP="00ED421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5A94BB4" w14:textId="035D9161" w:rsidR="006D31F1" w:rsidRPr="0037474E" w:rsidRDefault="006D31F1" w:rsidP="00ED421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CONSIDERANDO</w:t>
      </w:r>
    </w:p>
    <w:p w14:paraId="4B345FF0" w14:textId="77777777" w:rsidR="00672AFB" w:rsidRPr="0037474E" w:rsidRDefault="00672AFB" w:rsidP="00ED421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ACA0053" w14:textId="0D27F1AA" w:rsidR="006D31F1" w:rsidRPr="0037474E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Primero.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Que de conformidad con lo mandatado por el artículo 6 de la Constitución Política de los Estados Unidos Mexicanos; 3 y 114 apartado C de la Constitución Política del Estado Libre y Soberano de Oaxaca; 8, 37 y 42 de la Ley General de Transparencia y Acceso a la Información Pública; 69, 81, 82 y 87 de la Ley de Transparencia y Acceso a la Información Pública para el Estado de Oaxaca, el Instituto de Acceso a la Información Pública y Protección de Datos Personales, es un órgano autónomo, responsable de garantizar el cumplimiento del derecho de acceso a la información pública y a la protección de datos personales en posesión de sujetos obligados.</w:t>
      </w:r>
    </w:p>
    <w:p w14:paraId="506EBD01" w14:textId="77777777" w:rsidR="00672AFB" w:rsidRPr="0037474E" w:rsidRDefault="00672AFB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727B3203" w14:textId="06AF931B" w:rsidR="006D31F1" w:rsidRPr="0037474E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Segundo.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Que con fundamento en lo dispuesto por los incisos a) y b) de la fracción II, e inciso a) de la fracción IV del artículo 87 de la Ley de Transparencia y Acceso a la Información Pública del Estado de Oaxaca; y la</w:t>
      </w:r>
      <w:r w:rsidR="00C019E6" w:rsidRPr="0037474E">
        <w:rPr>
          <w:rFonts w:ascii="Arial Unicode MS" w:eastAsia="Arial Unicode MS" w:hAnsi="Arial Unicode MS" w:cs="Arial Unicode MS"/>
          <w:sz w:val="22"/>
          <w:szCs w:val="22"/>
        </w:rPr>
        <w:t>s fracciones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C0844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XIV, </w:t>
      </w:r>
      <w:r w:rsidR="00C019E6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XV, </w:t>
      </w:r>
      <w:r w:rsidR="00DC0844" w:rsidRPr="0037474E">
        <w:rPr>
          <w:rFonts w:ascii="Arial Unicode MS" w:eastAsia="Arial Unicode MS" w:hAnsi="Arial Unicode MS" w:cs="Arial Unicode MS"/>
          <w:sz w:val="22"/>
          <w:szCs w:val="22"/>
        </w:rPr>
        <w:t>XXII</w:t>
      </w:r>
      <w:r w:rsidR="003807EA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y </w:t>
      </w:r>
      <w:r w:rsidR="005F140A" w:rsidRPr="0037474E">
        <w:rPr>
          <w:rFonts w:ascii="Arial Unicode MS" w:eastAsia="Arial Unicode MS" w:hAnsi="Arial Unicode MS" w:cs="Arial Unicode MS"/>
          <w:sz w:val="22"/>
          <w:szCs w:val="22"/>
        </w:rPr>
        <w:t>X</w:t>
      </w:r>
      <w:r w:rsidR="003807EA" w:rsidRPr="0037474E">
        <w:rPr>
          <w:rFonts w:ascii="Arial Unicode MS" w:eastAsia="Arial Unicode MS" w:hAnsi="Arial Unicode MS" w:cs="Arial Unicode MS"/>
          <w:sz w:val="22"/>
          <w:szCs w:val="22"/>
        </w:rPr>
        <w:t>XVII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del artículo 5 del Reglamento Interno del Estado de Oaxaca, el Instituto de Acceso a la Información Pública y Protección de Datos Personales, está facultado para dictar las providencias y medidas necesarias para salvaguardar los derechos que tutela</w:t>
      </w:r>
      <w:r w:rsidR="00484139" w:rsidRPr="0037474E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37169729" w14:textId="77777777" w:rsidR="00C019E6" w:rsidRPr="0037474E" w:rsidRDefault="00C019E6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4364A683" w14:textId="31CD0CE1" w:rsidR="00DF69A1" w:rsidRPr="0037474E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Tercero.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>Que los organismos garantes tanto nacional como local, son responsables del desarrollo, administración e implementación de la Plataforma</w:t>
      </w:r>
      <w:r w:rsidR="00605F42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>Nacional de Transparencia (PNT), herramienta electrónica a través de la cual se</w:t>
      </w:r>
      <w:r w:rsidR="00605F42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>ejercen los derechos de acceso a la información y de protección de datos personales</w:t>
      </w:r>
      <w:r w:rsidR="00605F42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en posesión de los sujetos obligados, misma que se conforma de </w:t>
      </w:r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lastRenderedPageBreak/>
        <w:t>cuatro sistemas</w:t>
      </w:r>
      <w:r w:rsidR="00605F42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que operan en términos de lo dispuesto por </w:t>
      </w:r>
      <w:r w:rsidR="003608DC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artículo 13 de los Lineamientos de la Funcionalidad , Operación y Mejoras de la Plataforma Nacional de Transparencia </w:t>
      </w:r>
      <w:r w:rsidR="00E54588" w:rsidRPr="0037474E">
        <w:rPr>
          <w:rFonts w:ascii="Arial Unicode MS" w:eastAsia="Arial Unicode MS" w:hAnsi="Arial Unicode MS" w:cs="Arial Unicode MS"/>
          <w:sz w:val="22"/>
          <w:szCs w:val="22"/>
        </w:rPr>
        <w:t>l</w:t>
      </w:r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>os</w:t>
      </w:r>
      <w:r w:rsidR="00E54588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>cuales son: Sistema de Portales de Obligaciones de Transparencia (SIPOT); Sistema</w:t>
      </w:r>
      <w:r w:rsidR="003608DC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>de Solicitudes de Acceso a la Información (</w:t>
      </w:r>
      <w:proofErr w:type="spellStart"/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>SISAl</w:t>
      </w:r>
      <w:proofErr w:type="spellEnd"/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>); Sistema de comunicación entre</w:t>
      </w:r>
      <w:r w:rsidR="003608DC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>Organismos Garantes y Sujetos Obligados (SICOM); y Sistema de Gestión de</w:t>
      </w:r>
      <w:r w:rsidR="00E54588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355A8" w:rsidRPr="0037474E">
        <w:rPr>
          <w:rFonts w:ascii="Arial Unicode MS" w:eastAsia="Arial Unicode MS" w:hAnsi="Arial Unicode MS" w:cs="Arial Unicode MS"/>
          <w:sz w:val="22"/>
          <w:szCs w:val="22"/>
        </w:rPr>
        <w:t>Medios de Impugnación (SIGEMI).</w:t>
      </w:r>
    </w:p>
    <w:p w14:paraId="6B047F52" w14:textId="0754B62D" w:rsidR="00DF69A1" w:rsidRPr="0037474E" w:rsidRDefault="00DF69A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072C2909" w14:textId="74F065F4" w:rsidR="00A12180" w:rsidRPr="0037474E" w:rsidRDefault="00AD1B29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C</w:t>
      </w:r>
      <w:r w:rsidR="006D31F1" w:rsidRPr="0037474E">
        <w:rPr>
          <w:rFonts w:ascii="Arial Unicode MS" w:eastAsia="Arial Unicode MS" w:hAnsi="Arial Unicode MS" w:cs="Arial Unicode MS"/>
          <w:b/>
          <w:sz w:val="22"/>
          <w:szCs w:val="22"/>
        </w:rPr>
        <w:t>uarto</w:t>
      </w:r>
      <w:r w:rsidR="00A91A88" w:rsidRPr="0037474E">
        <w:rPr>
          <w:rFonts w:ascii="Arial Unicode MS" w:eastAsia="Arial Unicode MS" w:hAnsi="Arial Unicode MS" w:cs="Arial Unicode MS"/>
          <w:b/>
          <w:sz w:val="22"/>
          <w:szCs w:val="22"/>
        </w:rPr>
        <w:t xml:space="preserve">. </w:t>
      </w:r>
      <w:r w:rsidR="00A12180" w:rsidRPr="0037474E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7354A6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Que actualmente se encuentran en plena operación el Sistema de Portales de </w:t>
      </w:r>
      <w:r w:rsidR="00CB5963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Obligaciones de Transparencia; </w:t>
      </w:r>
      <w:r w:rsidR="007354A6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el Sistema de Solicitudes de Acceso a </w:t>
      </w:r>
      <w:r w:rsidR="00CB5963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la Información; </w:t>
      </w:r>
      <w:r w:rsidR="007354A6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el Sistema de Comunicación entre Organismos </w:t>
      </w:r>
      <w:r w:rsidR="009B4013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Garantes y Sujetos Obligados; </w:t>
      </w:r>
      <w:r w:rsidR="007354A6" w:rsidRPr="0037474E">
        <w:rPr>
          <w:rFonts w:ascii="Arial Unicode MS" w:eastAsia="Arial Unicode MS" w:hAnsi="Arial Unicode MS" w:cs="Arial Unicode MS"/>
          <w:sz w:val="22"/>
          <w:szCs w:val="22"/>
        </w:rPr>
        <w:t>como el Sistema de Gestión de Medios de Impugnación.</w:t>
      </w:r>
    </w:p>
    <w:p w14:paraId="7FDF38D5" w14:textId="77777777" w:rsidR="007354A6" w:rsidRPr="0037474E" w:rsidRDefault="007354A6" w:rsidP="00ED421C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6BD57F5" w14:textId="44E6C6F5" w:rsidR="007354A6" w:rsidRPr="0037474E" w:rsidRDefault="00E313F9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Quinto</w:t>
      </w:r>
      <w:r w:rsidR="006D31F1" w:rsidRPr="0037474E">
        <w:rPr>
          <w:rFonts w:ascii="Arial Unicode MS" w:eastAsia="Arial Unicode MS" w:hAnsi="Arial Unicode MS" w:cs="Arial Unicode MS"/>
          <w:b/>
          <w:sz w:val="22"/>
          <w:szCs w:val="22"/>
        </w:rPr>
        <w:t xml:space="preserve">. </w:t>
      </w:r>
      <w:r w:rsidR="007354A6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Que el Sistema </w:t>
      </w:r>
      <w:proofErr w:type="spellStart"/>
      <w:r w:rsidR="007354A6" w:rsidRPr="0037474E">
        <w:rPr>
          <w:rFonts w:ascii="Arial Unicode MS" w:eastAsia="Arial Unicode MS" w:hAnsi="Arial Unicode MS" w:cs="Arial Unicode MS"/>
          <w:sz w:val="22"/>
          <w:szCs w:val="22"/>
        </w:rPr>
        <w:t>Infomex</w:t>
      </w:r>
      <w:proofErr w:type="spellEnd"/>
      <w:r w:rsidR="007354A6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Oaxaca, continúa operando durante el proceso de transición al nuevo esquema informativo por lo que mediante este sistema se reciben solicitudes de información y se interpon</w:t>
      </w:r>
      <w:r w:rsidR="009B06C2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en </w:t>
      </w:r>
      <w:r w:rsidR="007354A6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recursos de revisión, lo anterior, con fundamento en el artículo décimo tercero de los Lineamientos para la Implementación y Operación de la Plataforma Nacional de Transparencia, publicados en el Diario Oficial de la Federación el cuatro de mayo de dos mil dieciséis. </w:t>
      </w:r>
    </w:p>
    <w:p w14:paraId="5D9FC12E" w14:textId="531DBF41" w:rsidR="001548D0" w:rsidRPr="0037474E" w:rsidRDefault="001548D0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3270A8DC" w14:textId="799F84F3" w:rsidR="00B36B90" w:rsidRPr="0037474E" w:rsidRDefault="00E313F9" w:rsidP="00ED421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Sexto</w:t>
      </w:r>
      <w:r w:rsidR="006D31F1" w:rsidRPr="0037474E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  <w:r w:rsidR="006A2906" w:rsidRPr="0037474E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4611C5" w:rsidRPr="0037474E">
        <w:rPr>
          <w:rFonts w:ascii="Arial Unicode MS" w:eastAsia="Arial Unicode MS" w:hAnsi="Arial Unicode MS" w:cs="Arial Unicode MS"/>
          <w:bCs/>
          <w:sz w:val="22"/>
          <w:szCs w:val="22"/>
        </w:rPr>
        <w:t>Que la Plataforma Nacional de Transparencia cuenta con mejoras que permiten mayor funcionalidad en los cuatro sistemas que la conforman, las cuales</w:t>
      </w:r>
      <w:r w:rsidR="00026A34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incluyen:</w:t>
      </w:r>
    </w:p>
    <w:p w14:paraId="4FD8B28F" w14:textId="789E3CF3" w:rsidR="00C43515" w:rsidRPr="0037474E" w:rsidRDefault="00C43515" w:rsidP="00ED421C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69CCDAF3" w14:textId="115FB459" w:rsidR="00026A34" w:rsidRPr="0037474E" w:rsidRDefault="00026A34" w:rsidP="00ED421C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>La migración a la Plataforma Nacional de Transparencia de todas las solicitudes de los sistemas INFOMEX.</w:t>
      </w:r>
    </w:p>
    <w:p w14:paraId="06AFE409" w14:textId="16E4FD0F" w:rsidR="00F1247E" w:rsidRPr="0037474E" w:rsidRDefault="00B36B90" w:rsidP="00ED421C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>Las solicitudes de información pública y ARCOP se gestionarán solo por</w:t>
      </w:r>
      <w:r w:rsidR="00F1247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la </w:t>
      </w:r>
      <w:r w:rsidR="00112DA2" w:rsidRPr="0037474E">
        <w:rPr>
          <w:rFonts w:ascii="Arial Unicode MS" w:eastAsia="Arial Unicode MS" w:hAnsi="Arial Unicode MS" w:cs="Arial Unicode MS"/>
          <w:sz w:val="22"/>
          <w:szCs w:val="22"/>
        </w:rPr>
        <w:t>Plataforma Nacional de Transparencia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15C216BE" w14:textId="77777777" w:rsidR="00F1247E" w:rsidRPr="0037474E" w:rsidRDefault="00B36B90" w:rsidP="00ED421C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>Está incorporado el derecho de Portabilidad.</w:t>
      </w:r>
    </w:p>
    <w:p w14:paraId="3434156F" w14:textId="7EBBFF11" w:rsidR="00F1247E" w:rsidRPr="0037474E" w:rsidRDefault="00B36B90" w:rsidP="00ED421C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Ahora la </w:t>
      </w:r>
      <w:r w:rsidR="00112DA2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Plataforma Nacional de Transparencia en su modulo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SISAI 2.0 cuenta con la funcionalidad para que las unidades</w:t>
      </w:r>
      <w:r w:rsidR="00F1247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administrativas de los Sujetos Obligados gestionen internamente las</w:t>
      </w:r>
      <w:r w:rsidR="00F1247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solicitudes de información.</w:t>
      </w:r>
    </w:p>
    <w:p w14:paraId="7EB134B9" w14:textId="4ADD9FC7" w:rsidR="00F1247E" w:rsidRPr="0037474E" w:rsidRDefault="00B36B90" w:rsidP="00ED421C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La </w:t>
      </w:r>
      <w:r w:rsidR="00112DA2" w:rsidRPr="0037474E">
        <w:rPr>
          <w:rFonts w:ascii="Arial Unicode MS" w:eastAsia="Arial Unicode MS" w:hAnsi="Arial Unicode MS" w:cs="Arial Unicode MS"/>
          <w:sz w:val="22"/>
          <w:szCs w:val="22"/>
        </w:rPr>
        <w:t>Plataforma Nacional de Transparencia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cuenta con el Buscador Nacional y Temáticos, mismos que deben</w:t>
      </w:r>
      <w:r w:rsidR="00F1247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están normados en nuevos Lineamientos</w:t>
      </w:r>
    </w:p>
    <w:p w14:paraId="198E1F70" w14:textId="77777777" w:rsidR="00F1247E" w:rsidRPr="0037474E" w:rsidRDefault="00B36B90" w:rsidP="00ED421C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>Las personas podrán a través del Centro de Atención a la Sociedad (CAS),</w:t>
      </w:r>
      <w:r w:rsidR="00F1247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realizar solicitudes a los sujetos obligados de las 32 entidades federativas</w:t>
      </w:r>
      <w:r w:rsidR="00F1247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y de la Federación.</w:t>
      </w:r>
    </w:p>
    <w:p w14:paraId="37AC6BC7" w14:textId="77777777" w:rsidR="00F1247E" w:rsidRPr="0037474E" w:rsidRDefault="00B36B90" w:rsidP="00ED421C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>Existirá una base de datos centralizada, así como un catálogo único.</w:t>
      </w:r>
    </w:p>
    <w:p w14:paraId="74C6BF82" w14:textId="6696E057" w:rsidR="00DF69A1" w:rsidRPr="0037474E" w:rsidRDefault="00B36B90" w:rsidP="00ED421C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Todos los actos gestionados dentro de la </w:t>
      </w:r>
      <w:r w:rsidR="00112DA2" w:rsidRPr="0037474E">
        <w:rPr>
          <w:rFonts w:ascii="Arial Unicode MS" w:eastAsia="Arial Unicode MS" w:hAnsi="Arial Unicode MS" w:cs="Arial Unicode MS"/>
          <w:sz w:val="22"/>
          <w:szCs w:val="22"/>
        </w:rPr>
        <w:t>Plataforma Nacional de Transparencia,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permitirán formar un</w:t>
      </w:r>
      <w:r w:rsidR="00F1247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“expediente único electrónico”.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cr/>
      </w:r>
    </w:p>
    <w:p w14:paraId="50050BF8" w14:textId="360B22C4" w:rsidR="006D31F1" w:rsidRPr="0037474E" w:rsidRDefault="00E313F9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Séptimo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BF7421" w:rsidRPr="0037474E">
        <w:rPr>
          <w:rFonts w:ascii="Arial Unicode MS" w:eastAsia="Arial Unicode MS" w:hAnsi="Arial Unicode MS" w:cs="Arial Unicode MS"/>
          <w:sz w:val="22"/>
          <w:szCs w:val="22"/>
        </w:rPr>
        <w:t>Q</w:t>
      </w:r>
      <w:r w:rsidR="00112DA2" w:rsidRPr="0037474E">
        <w:rPr>
          <w:rFonts w:ascii="Arial Unicode MS" w:eastAsia="Arial Unicode MS" w:hAnsi="Arial Unicode MS" w:cs="Arial Unicode MS"/>
          <w:sz w:val="22"/>
          <w:szCs w:val="22"/>
        </w:rPr>
        <w:t>ue</w:t>
      </w:r>
      <w:r w:rsidR="00B616C7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el SISAI 2.0, permite a la ciudadanía </w:t>
      </w:r>
      <w:r w:rsidR="00F9606A" w:rsidRPr="0037474E">
        <w:rPr>
          <w:rFonts w:ascii="Arial Unicode MS" w:eastAsia="Arial Unicode MS" w:hAnsi="Arial Unicode MS" w:cs="Arial Unicode MS"/>
          <w:sz w:val="22"/>
          <w:szCs w:val="22"/>
        </w:rPr>
        <w:t>requerirles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a los sujetos obligados de los tres órdenes de gobierno información pública de su interés, así como el acceso, rectificación, cancelación, oposición y portabilidad de sus datos personales (ARCOP) y </w:t>
      </w:r>
      <w:r w:rsidR="00F36075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a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los sujetos obligados gestiona</w:t>
      </w:r>
      <w:r w:rsidR="00F36075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r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los requerimientos de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lastRenderedPageBreak/>
        <w:t>información pública y ARCOP en los términos y plazos que establecen la Ley General, Ley General de Datos y las respectivas Leyes locales en la materia</w:t>
      </w:r>
      <w:r w:rsidR="00BF7421" w:rsidRPr="0037474E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027FA73C" w14:textId="763F6736" w:rsidR="00BF7421" w:rsidRPr="0037474E" w:rsidRDefault="00BF742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79676838" w14:textId="2B1AE531" w:rsidR="00BF7421" w:rsidRPr="0037474E" w:rsidRDefault="00BF742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bCs/>
          <w:sz w:val="22"/>
          <w:szCs w:val="22"/>
        </w:rPr>
        <w:t>Octavo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EC68E8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Que a partir del día trece de septiembre del presente año, se deshabilitará el registro de solicitudes a través del Sistema </w:t>
      </w:r>
      <w:proofErr w:type="spellStart"/>
      <w:r w:rsidRPr="0037474E">
        <w:rPr>
          <w:rFonts w:ascii="Arial Unicode MS" w:eastAsia="Arial Unicode MS" w:hAnsi="Arial Unicode MS" w:cs="Arial Unicode MS"/>
          <w:sz w:val="22"/>
          <w:szCs w:val="22"/>
        </w:rPr>
        <w:t>Infomex</w:t>
      </w:r>
      <w:proofErr w:type="spellEnd"/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Oaxaca</w:t>
      </w:r>
      <w:r w:rsidR="002F2A9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; </w:t>
      </w:r>
      <w:r w:rsidR="003E3EF6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por lo cual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los procesos de sustanciación de solicitudes y recursos de revisión, que hayan sido presentados antes de esta fecha, continuarán substanciándose en la misma vía hasta su conclusión</w:t>
      </w:r>
      <w:r w:rsidR="00D40077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y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los usuarios ya registrados en este, podrán consultar el estado de</w:t>
      </w:r>
      <w:r w:rsidR="00253F73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su</w:t>
      </w:r>
      <w:r w:rsidR="00253F73" w:rsidRPr="0037474E">
        <w:rPr>
          <w:rFonts w:ascii="Arial Unicode MS" w:eastAsia="Arial Unicode MS" w:hAnsi="Arial Unicode MS" w:cs="Arial Unicode MS"/>
          <w:sz w:val="22"/>
          <w:szCs w:val="22"/>
        </w:rPr>
        <w:t>s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solicitudes antes presentadas a través del SISAI 2.0, creando una cuenta en Plataforma Nacional de Transparencia y vinculando su cuenta a la ya existente en el Sistema </w:t>
      </w:r>
      <w:proofErr w:type="spellStart"/>
      <w:r w:rsidRPr="0037474E">
        <w:rPr>
          <w:rFonts w:ascii="Arial Unicode MS" w:eastAsia="Arial Unicode MS" w:hAnsi="Arial Unicode MS" w:cs="Arial Unicode MS"/>
          <w:sz w:val="22"/>
          <w:szCs w:val="22"/>
        </w:rPr>
        <w:t>Infomex</w:t>
      </w:r>
      <w:proofErr w:type="spellEnd"/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Oaxaca.</w:t>
      </w:r>
    </w:p>
    <w:p w14:paraId="2356D942" w14:textId="55D98747" w:rsidR="00C7771F" w:rsidRPr="0037474E" w:rsidRDefault="00C7771F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6E9BB248" w14:textId="1409F9D3" w:rsidR="00912A5B" w:rsidRPr="0037474E" w:rsidRDefault="00C7771F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Noveno. </w:t>
      </w:r>
      <w:r w:rsidR="00C039BB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Que en congruencia con lo expuesto en el considerando que antecede, </w:t>
      </w:r>
      <w:r w:rsidR="00F375AD" w:rsidRPr="0037474E">
        <w:rPr>
          <w:rFonts w:ascii="Arial Unicode MS" w:eastAsia="Arial Unicode MS" w:hAnsi="Arial Unicode MS" w:cs="Arial Unicode MS"/>
          <w:sz w:val="22"/>
          <w:szCs w:val="22"/>
        </w:rPr>
        <w:t>y a efecto de que los sujetos obligados incorporados</w:t>
      </w:r>
      <w:r w:rsidR="00E73640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en </w:t>
      </w:r>
      <w:r w:rsidR="00F375AD" w:rsidRPr="0037474E">
        <w:rPr>
          <w:rFonts w:ascii="Arial Unicode MS" w:eastAsia="Arial Unicode MS" w:hAnsi="Arial Unicode MS" w:cs="Arial Unicode MS"/>
          <w:sz w:val="22"/>
          <w:szCs w:val="22"/>
        </w:rPr>
        <w:t>la Plataforma Nacional de Transparencia</w:t>
      </w:r>
      <w:r w:rsidR="00E73640" w:rsidRPr="0037474E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F375AD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estén en la posibilidad de ocupar todas la mejoras y funciones</w:t>
      </w:r>
      <w:r w:rsidR="000D0423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del SISAI 2</w:t>
      </w:r>
      <w:r w:rsidR="00C61F7E" w:rsidRPr="0037474E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0D0423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0, </w:t>
      </w:r>
      <w:r w:rsidR="00192E97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es necesario </w:t>
      </w:r>
      <w:r w:rsidR="00DB3560" w:rsidRPr="0037474E">
        <w:rPr>
          <w:rFonts w:ascii="Arial Unicode MS" w:eastAsia="Arial Unicode MS" w:hAnsi="Arial Unicode MS" w:cs="Arial Unicode MS"/>
          <w:bCs/>
          <w:sz w:val="22"/>
          <w:szCs w:val="22"/>
        </w:rPr>
        <w:t>hacer</w:t>
      </w:r>
      <w:r w:rsidR="00CF392B" w:rsidRPr="0037474E">
        <w:rPr>
          <w:rFonts w:ascii="Arial Unicode MS" w:eastAsia="Arial Unicode MS" w:hAnsi="Arial Unicode MS" w:cs="Arial Unicode MS"/>
          <w:bCs/>
          <w:sz w:val="22"/>
          <w:szCs w:val="22"/>
        </w:rPr>
        <w:t>les</w:t>
      </w:r>
      <w:r w:rsidR="00DB3560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bookmarkStart w:id="1" w:name="_Hlk81294787"/>
      <w:r w:rsidR="0083096B" w:rsidRPr="0037474E">
        <w:rPr>
          <w:rFonts w:ascii="Arial Unicode MS" w:eastAsia="Arial Unicode MS" w:hAnsi="Arial Unicode MS" w:cs="Arial Unicode MS"/>
          <w:bCs/>
          <w:sz w:val="22"/>
          <w:szCs w:val="22"/>
        </w:rPr>
        <w:t>entrega de</w:t>
      </w:r>
      <w:r w:rsidR="00F375AD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la</w:t>
      </w:r>
      <w:r w:rsidR="0083096B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constancia de clave de usuario y contraseña</w:t>
      </w:r>
      <w:bookmarkEnd w:id="1"/>
      <w:r w:rsidR="003B7227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CF5C9D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a </w:t>
      </w:r>
      <w:bookmarkStart w:id="2" w:name="_Hlk81297122"/>
      <w:r w:rsidR="00CF5C9D" w:rsidRPr="0037474E">
        <w:rPr>
          <w:rFonts w:ascii="Arial Unicode MS" w:eastAsia="Arial Unicode MS" w:hAnsi="Arial Unicode MS" w:cs="Arial Unicode MS"/>
          <w:bCs/>
          <w:sz w:val="22"/>
          <w:szCs w:val="22"/>
        </w:rPr>
        <w:t>los Titulares y/o Responsables de las Unidades de Transparencia</w:t>
      </w:r>
      <w:bookmarkEnd w:id="2"/>
      <w:r w:rsidR="003B7227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, </w:t>
      </w:r>
      <w:r w:rsidR="00394010" w:rsidRPr="0037474E">
        <w:rPr>
          <w:rFonts w:ascii="Arial Unicode MS" w:eastAsia="Arial Unicode MS" w:hAnsi="Arial Unicode MS" w:cs="Arial Unicode MS"/>
          <w:bCs/>
          <w:sz w:val="22"/>
          <w:szCs w:val="22"/>
        </w:rPr>
        <w:t>para lo cual</w:t>
      </w:r>
      <w:r w:rsidR="00E73640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912A5B" w:rsidRPr="0037474E">
        <w:rPr>
          <w:rFonts w:ascii="Arial Unicode MS" w:eastAsia="Arial Unicode MS" w:hAnsi="Arial Unicode MS" w:cs="Arial Unicode MS"/>
          <w:bCs/>
          <w:sz w:val="22"/>
          <w:szCs w:val="22"/>
        </w:rPr>
        <w:t>deberá</w:t>
      </w:r>
      <w:r w:rsidR="00E91723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n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acudir a las oficinas que ocupa la Dirección de Tecnologías de Transparencia en Almendros 122, Colonia Reforma, Oaxaca de Juárez, Oaxaca, CP 68050, </w:t>
      </w:r>
      <w:r w:rsidR="005C4D84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conforme lo dispuesto en el “PROTOCOLO PARA LA PREVENCIÒN DE CONTAGIOS POR COVID-19 DE LAS PERSONAS SERVIDORAS PÚBLICAS Y VISITANTES DEL INSTITUTO DE ACCESO A LA INFORMACIÒN Y PROTECION DE DATOS PERSONALES” aprobado el veintinueve de abril de dos mil veintiuno en la Octava Sesión Ordinaria del Consejo General de este Instituto, </w:t>
      </w:r>
      <w:r w:rsidR="00C61F7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con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los siguientes documentos</w:t>
      </w:r>
      <w:r w:rsidR="00912A5B" w:rsidRPr="0037474E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14:paraId="794EEB10" w14:textId="77777777" w:rsidR="00C7771F" w:rsidRPr="0037474E" w:rsidRDefault="00C7771F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639CCE87" w14:textId="77777777" w:rsidR="00C7771F" w:rsidRPr="0037474E" w:rsidRDefault="00C7771F" w:rsidP="00ED421C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>Original y copia simple del nombramiento correspondiente del Titular y/o Responsable de la Unidad de Transparencia del sujeto obligado.</w:t>
      </w:r>
    </w:p>
    <w:p w14:paraId="11AC0BDB" w14:textId="02D7066E" w:rsidR="00C7771F" w:rsidRPr="0037474E" w:rsidRDefault="00C7771F" w:rsidP="00ED421C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Identificación oficial, original y copia. </w:t>
      </w:r>
    </w:p>
    <w:p w14:paraId="2C43CA51" w14:textId="3FB53E39" w:rsidR="008A0731" w:rsidRPr="0037474E" w:rsidRDefault="008A073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15278184" w14:textId="4689D0DA" w:rsidR="00C7771F" w:rsidRPr="0037474E" w:rsidRDefault="00590573" w:rsidP="00ED421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7474E">
        <w:rPr>
          <w:rFonts w:ascii="Arial Unicode MS" w:eastAsia="Arial Unicode MS" w:hAnsi="Arial Unicode MS" w:cs="Arial Unicode MS" w:hint="eastAsia"/>
          <w:bCs/>
          <w:sz w:val="22"/>
          <w:szCs w:val="22"/>
        </w:rPr>
        <w:t>Por lo expuesto, en las consideraciones de hecho y de derecho, el Consejo General del Instituto de Acceso a la Información Pública y Protección de Datos Personales, emite el siguiente:</w:t>
      </w:r>
    </w:p>
    <w:p w14:paraId="301E21C6" w14:textId="77777777" w:rsidR="00ED421C" w:rsidRPr="0037474E" w:rsidRDefault="00ED421C" w:rsidP="00ED421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6CA8F691" w14:textId="6F7B2C0F" w:rsidR="006D31F1" w:rsidRPr="0037474E" w:rsidRDefault="006D31F1" w:rsidP="00ED421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ACUERDO:</w:t>
      </w:r>
    </w:p>
    <w:p w14:paraId="30610B01" w14:textId="77777777" w:rsidR="001C44E1" w:rsidRPr="0037474E" w:rsidRDefault="001C44E1" w:rsidP="00ED421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72D535EE" w14:textId="793FB0DC" w:rsidR="0027005A" w:rsidRPr="0037474E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Primero.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329CD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Se aprueba por este </w:t>
      </w:r>
      <w:r w:rsidR="001A4F20" w:rsidRPr="0037474E">
        <w:rPr>
          <w:rFonts w:ascii="Arial Unicode MS" w:eastAsia="Arial Unicode MS" w:hAnsi="Arial Unicode MS" w:cs="Arial Unicode MS"/>
          <w:sz w:val="22"/>
          <w:szCs w:val="22"/>
        </w:rPr>
        <w:t>Consejo General</w:t>
      </w:r>
      <w:r w:rsidR="00BF4FB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44C2C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que </w:t>
      </w:r>
      <w:r w:rsidR="00BF4FBE" w:rsidRPr="0037474E">
        <w:rPr>
          <w:rFonts w:ascii="Arial Unicode MS" w:eastAsia="Arial Unicode MS" w:hAnsi="Arial Unicode MS" w:cs="Arial Unicode MS"/>
          <w:sz w:val="22"/>
          <w:szCs w:val="22"/>
        </w:rPr>
        <w:t>l</w:t>
      </w:r>
      <w:r w:rsidR="00EE7D5A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as solicitudes de </w:t>
      </w:r>
      <w:r w:rsidR="00A46F66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acceso a la información pública y </w:t>
      </w:r>
      <w:r w:rsidR="00E025EF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de </w:t>
      </w:r>
      <w:r w:rsidR="0008244E" w:rsidRPr="0037474E">
        <w:rPr>
          <w:rFonts w:ascii="Arial Unicode MS" w:eastAsia="Arial Unicode MS" w:hAnsi="Arial Unicode MS" w:cs="Arial Unicode MS"/>
          <w:sz w:val="22"/>
          <w:szCs w:val="22"/>
        </w:rPr>
        <w:t>protección de datos personales en posesión de los sujetos obligados</w:t>
      </w:r>
      <w:r w:rsidR="00C258F2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27005A" w:rsidRPr="0037474E">
        <w:rPr>
          <w:rFonts w:ascii="Arial Unicode MS" w:eastAsia="Arial Unicode MS" w:hAnsi="Arial Unicode MS" w:cs="Arial Unicode MS"/>
          <w:sz w:val="22"/>
          <w:szCs w:val="22"/>
        </w:rPr>
        <w:t>que se presenten a partir del trece de septiembre del presente año</w:t>
      </w:r>
      <w:r w:rsidR="00C258F2" w:rsidRPr="0037474E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E329CD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a </w:t>
      </w:r>
      <w:r w:rsidR="00EE7D5A" w:rsidRPr="0037474E">
        <w:rPr>
          <w:rFonts w:ascii="Arial Unicode MS" w:eastAsia="Arial Unicode MS" w:hAnsi="Arial Unicode MS" w:cs="Arial Unicode MS"/>
          <w:sz w:val="22"/>
          <w:szCs w:val="22"/>
        </w:rPr>
        <w:t>través de la Plataforma Nacional de Transparencia, se</w:t>
      </w:r>
      <w:r w:rsidR="00484A8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E7D5A" w:rsidRPr="0037474E">
        <w:rPr>
          <w:rFonts w:ascii="Arial Unicode MS" w:eastAsia="Arial Unicode MS" w:hAnsi="Arial Unicode MS" w:cs="Arial Unicode MS"/>
          <w:sz w:val="22"/>
          <w:szCs w:val="22"/>
        </w:rPr>
        <w:t>atenderán</w:t>
      </w:r>
      <w:r w:rsidR="0027005A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y </w:t>
      </w:r>
      <w:r w:rsidR="00E329CD" w:rsidRPr="0037474E">
        <w:rPr>
          <w:rFonts w:ascii="Arial Unicode MS" w:eastAsia="Arial Unicode MS" w:hAnsi="Arial Unicode MS" w:cs="Arial Unicode MS"/>
          <w:sz w:val="22"/>
          <w:szCs w:val="22"/>
        </w:rPr>
        <w:t>sustanciarán</w:t>
      </w:r>
      <w:r w:rsidR="0027005A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329CD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en </w:t>
      </w:r>
      <w:r w:rsidR="00484A8E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el </w:t>
      </w:r>
      <w:r w:rsidR="00070038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Sistema de Solicitudes de Acceso a la Información </w:t>
      </w:r>
      <w:r w:rsidR="00913323" w:rsidRPr="0037474E">
        <w:rPr>
          <w:rFonts w:ascii="Arial Unicode MS" w:eastAsia="Arial Unicode MS" w:hAnsi="Arial Unicode MS" w:cs="Arial Unicode MS"/>
          <w:sz w:val="22"/>
          <w:szCs w:val="22"/>
        </w:rPr>
        <w:t>en su</w:t>
      </w:r>
      <w:r w:rsidR="00543AA9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versión </w:t>
      </w:r>
      <w:proofErr w:type="spellStart"/>
      <w:r w:rsidR="00070038" w:rsidRPr="0037474E">
        <w:rPr>
          <w:rFonts w:ascii="Arial Unicode MS" w:eastAsia="Arial Unicode MS" w:hAnsi="Arial Unicode MS" w:cs="Arial Unicode MS"/>
          <w:sz w:val="22"/>
          <w:szCs w:val="22"/>
        </w:rPr>
        <w:t>SISAl</w:t>
      </w:r>
      <w:proofErr w:type="spellEnd"/>
      <w:r w:rsidR="00543AA9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2.0.</w:t>
      </w:r>
      <w:r w:rsidR="00944C2C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59DC255C" w14:textId="52E6C65F" w:rsidR="0023561D" w:rsidRPr="0037474E" w:rsidRDefault="0023561D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1C9E0931" w14:textId="39D99EE7" w:rsidR="006505D8" w:rsidRPr="0037474E" w:rsidRDefault="00935620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Segundo</w:t>
      </w:r>
      <w:r w:rsidR="00D40077" w:rsidRPr="0037474E">
        <w:rPr>
          <w:rFonts w:ascii="Arial Unicode MS" w:eastAsia="Arial Unicode MS" w:hAnsi="Arial Unicode MS" w:cs="Arial Unicode MS"/>
          <w:b/>
          <w:sz w:val="22"/>
          <w:szCs w:val="22"/>
        </w:rPr>
        <w:t xml:space="preserve">. </w:t>
      </w:r>
      <w:r w:rsidR="00D40077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Se aprueba </w:t>
      </w:r>
      <w:bookmarkStart w:id="3" w:name="_Hlk81294593"/>
      <w:r w:rsidR="00D40077" w:rsidRPr="0037474E">
        <w:rPr>
          <w:rFonts w:ascii="Arial Unicode MS" w:eastAsia="Arial Unicode MS" w:hAnsi="Arial Unicode MS" w:cs="Arial Unicode MS"/>
          <w:sz w:val="22"/>
          <w:szCs w:val="22"/>
        </w:rPr>
        <w:t>el formato de entrega de constancia de clave de usuario y contraseña de la plataforma nacional de transparencia</w:t>
      </w:r>
      <w:bookmarkEnd w:id="3"/>
      <w:r w:rsidR="006B4C59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y </w:t>
      </w:r>
      <w:r w:rsidR="00216A75" w:rsidRPr="0037474E">
        <w:rPr>
          <w:rFonts w:ascii="Arial Unicode MS" w:eastAsia="Arial Unicode MS" w:hAnsi="Arial Unicode MS" w:cs="Arial Unicode MS"/>
          <w:sz w:val="22"/>
          <w:szCs w:val="22"/>
        </w:rPr>
        <w:t>el “</w:t>
      </w:r>
      <w:r w:rsidR="00216A75" w:rsidRPr="0037474E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Aviso de privacidad, </w:t>
      </w:r>
      <w:r w:rsidR="00216A75" w:rsidRPr="0037474E">
        <w:rPr>
          <w:rFonts w:ascii="Arial Unicode MS" w:eastAsia="Arial Unicode MS" w:hAnsi="Arial Unicode MS" w:cs="Arial Unicode MS"/>
          <w:i/>
          <w:iCs/>
          <w:sz w:val="22"/>
          <w:szCs w:val="22"/>
        </w:rPr>
        <w:lastRenderedPageBreak/>
        <w:t>relativo a las constancias de generación de claves de usuario y contraseña de los Sistemas de la Plataforma Nacional de Transparencia y Sistema de Transparencia Municipal; así como Directorio de Sujetos Obligados</w:t>
      </w:r>
      <w:r w:rsidR="00216A75" w:rsidRPr="0037474E">
        <w:rPr>
          <w:rFonts w:ascii="Arial Unicode MS" w:eastAsia="Arial Unicode MS" w:hAnsi="Arial Unicode MS" w:cs="Arial Unicode MS"/>
          <w:sz w:val="22"/>
          <w:szCs w:val="22"/>
        </w:rPr>
        <w:t>”</w:t>
      </w:r>
      <w:r w:rsidR="00F2043D" w:rsidRPr="0037474E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216A75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anexo</w:t>
      </w:r>
      <w:r w:rsidR="006B4C59" w:rsidRPr="0037474E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216A75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al presente acuerdo.</w:t>
      </w:r>
    </w:p>
    <w:p w14:paraId="71E4A5D1" w14:textId="77777777" w:rsidR="006B4C59" w:rsidRPr="0037474E" w:rsidRDefault="006B4C59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3DD126ED" w14:textId="06EF6A4A" w:rsidR="00C300C0" w:rsidRPr="0037474E" w:rsidRDefault="006B4C59" w:rsidP="00C300C0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bCs/>
          <w:sz w:val="22"/>
          <w:szCs w:val="22"/>
        </w:rPr>
        <w:t>Tercero.</w:t>
      </w:r>
      <w:r w:rsidR="00C300C0" w:rsidRPr="0037474E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="00C300C0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De conformidad con el considerando noveno del presente acuerdo, se requiere a los Titulares y/o Responsables de las Unidades de Transparencia de los sujetos obligados incorporados en la Plataforma Nacional de Transparencia de la entidad, para que dentro de los tres días siguientes a la notificación del presente documento, agenden cita previa con la Dirección de Tecnologías de Transparencia, a través del correo electrónico </w:t>
      </w:r>
      <w:hyperlink r:id="rId8" w:history="1">
        <w:r w:rsidR="00C300C0" w:rsidRPr="0037474E">
          <w:rPr>
            <w:rStyle w:val="Hipervnculo"/>
            <w:rFonts w:ascii="Arial Unicode MS" w:eastAsia="Arial Unicode MS" w:hAnsi="Arial Unicode MS" w:cs="Arial Unicode MS"/>
            <w:sz w:val="22"/>
            <w:szCs w:val="22"/>
          </w:rPr>
          <w:t>tecnologias@iaipoaxaca.org.mx</w:t>
        </w:r>
      </w:hyperlink>
      <w:r w:rsidR="00C300C0" w:rsidRPr="0037474E">
        <w:rPr>
          <w:rFonts w:ascii="Arial Unicode MS" w:eastAsia="Arial Unicode MS" w:hAnsi="Arial Unicode MS" w:cs="Arial Unicode MS"/>
          <w:sz w:val="22"/>
          <w:szCs w:val="22"/>
        </w:rPr>
        <w:t>, para la entrega de la constancia de clave de usuario y contraseña.</w:t>
      </w:r>
    </w:p>
    <w:p w14:paraId="1BCF2036" w14:textId="77777777" w:rsidR="00C300C0" w:rsidRPr="0037474E" w:rsidRDefault="00C300C0" w:rsidP="00C300C0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74137521" w14:textId="77777777" w:rsidR="00C300C0" w:rsidRPr="0037474E" w:rsidRDefault="00C300C0" w:rsidP="00C300C0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Así mismo, se hace de su conocimiento que podrá ser consultado, a través del enlace </w:t>
      </w:r>
      <w:hyperlink r:id="rId9" w:history="1">
        <w:r w:rsidRPr="0037474E">
          <w:rPr>
            <w:rStyle w:val="Hipervnculo"/>
            <w:rFonts w:ascii="Arial Unicode MS" w:eastAsia="Arial Unicode MS" w:hAnsi="Arial Unicode MS" w:cs="Arial Unicode MS"/>
            <w:sz w:val="22"/>
            <w:szCs w:val="22"/>
          </w:rPr>
          <w:t>https://iaipoaxaca.org.mx/PNT/sisai</w:t>
        </w:r>
      </w:hyperlink>
      <w:r w:rsidRPr="0037474E">
        <w:rPr>
          <w:rFonts w:ascii="Arial Unicode MS" w:eastAsia="Arial Unicode MS" w:hAnsi="Arial Unicode MS" w:cs="Arial Unicode MS"/>
          <w:sz w:val="22"/>
          <w:szCs w:val="22"/>
        </w:rPr>
        <w:t>, el material didáctico para el buen manejo de la Plataforma Nacional de Transparencia, derivado las mejoras realizadas en el SISAI 2.0.</w:t>
      </w:r>
    </w:p>
    <w:p w14:paraId="05DB1E8A" w14:textId="77777777" w:rsidR="00E83A45" w:rsidRPr="0037474E" w:rsidRDefault="00E83A45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465661F5" w14:textId="5B7620BC" w:rsidR="00C300C0" w:rsidRPr="0037474E" w:rsidRDefault="006B4C59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bCs/>
          <w:sz w:val="22"/>
          <w:szCs w:val="22"/>
        </w:rPr>
        <w:t>Cuarto</w:t>
      </w:r>
      <w:r w:rsidR="00C300C0" w:rsidRPr="0037474E">
        <w:rPr>
          <w:rFonts w:ascii="Arial Unicode MS" w:eastAsia="Arial Unicode MS" w:hAnsi="Arial Unicode MS" w:cs="Arial Unicode MS"/>
          <w:b/>
          <w:bCs/>
          <w:sz w:val="22"/>
          <w:szCs w:val="22"/>
        </w:rPr>
        <w:t>.</w:t>
      </w:r>
      <w:r w:rsidR="00C300C0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300C0" w:rsidRPr="0037474E">
        <w:rPr>
          <w:rFonts w:ascii="Arial Unicode MS" w:eastAsia="Arial Unicode MS" w:hAnsi="Arial Unicode MS" w:cs="Arial Unicode MS"/>
          <w:sz w:val="22"/>
          <w:szCs w:val="22"/>
        </w:rPr>
        <w:t>Se instruye a la Secretaría General de Acuerdos de este Instituto, notifique el presente documento por los medios legales pertinentes, a los sujetos obligados incorporados la Plataforma Nacional de Transparencia y a todas las áreas administrativas de este organismo garante para los efectos legales y administrativos a que haya lugar; así también, gestione su publicación en el portal institucional.</w:t>
      </w:r>
    </w:p>
    <w:p w14:paraId="7FCBF311" w14:textId="77777777" w:rsidR="00067854" w:rsidRPr="0037474E" w:rsidRDefault="00067854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6212EAC8" w14:textId="7CD7A874" w:rsidR="00EE7138" w:rsidRPr="0037474E" w:rsidRDefault="00067854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bCs/>
          <w:sz w:val="22"/>
          <w:szCs w:val="22"/>
        </w:rPr>
        <w:t>Quinto.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B4C59" w:rsidRPr="0037474E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216A75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e instruye a la Dirección de Tecnologías de Transparencia </w:t>
      </w:r>
      <w:r w:rsidR="006773E9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realice la entrega de </w:t>
      </w:r>
      <w:r w:rsidR="009B0F55" w:rsidRPr="0037474E">
        <w:rPr>
          <w:rFonts w:ascii="Arial Unicode MS" w:eastAsia="Arial Unicode MS" w:hAnsi="Arial Unicode MS" w:cs="Arial Unicode MS"/>
          <w:sz w:val="22"/>
          <w:szCs w:val="22"/>
        </w:rPr>
        <w:t>la</w:t>
      </w:r>
      <w:r w:rsidR="00E60341" w:rsidRPr="0037474E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9B0F55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constancia</w:t>
      </w:r>
      <w:r w:rsidR="00E60341" w:rsidRPr="0037474E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6773E9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de clave de usuario y contraseña de la plataforma nacional de transparencia a los sujetos obligados incorporados en este sistema</w:t>
      </w:r>
      <w:r w:rsidR="009B0F55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; </w:t>
      </w:r>
      <w:r w:rsidR="00216A75" w:rsidRPr="0037474E">
        <w:rPr>
          <w:rFonts w:ascii="Arial Unicode MS" w:eastAsia="Arial Unicode MS" w:hAnsi="Arial Unicode MS" w:cs="Arial Unicode MS"/>
          <w:sz w:val="22"/>
          <w:szCs w:val="22"/>
        </w:rPr>
        <w:t>asimismo realice los ajustes y demás acciones pertinentes, para dar cumplimiento a lo aquí ordenado.</w:t>
      </w:r>
    </w:p>
    <w:p w14:paraId="1E12E652" w14:textId="77777777" w:rsidR="00113F51" w:rsidRPr="0037474E" w:rsidRDefault="00113F5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3A0CAA03" w14:textId="24F24BC1" w:rsidR="00D40077" w:rsidRPr="0037474E" w:rsidRDefault="00067854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Sexto</w:t>
      </w:r>
      <w:r w:rsidRPr="0037474E">
        <w:rPr>
          <w:rFonts w:ascii="Arial Unicode MS" w:eastAsia="Arial Unicode MS" w:hAnsi="Arial Unicode MS" w:cs="Arial Unicode MS"/>
          <w:bCs/>
          <w:sz w:val="22"/>
          <w:szCs w:val="22"/>
        </w:rPr>
        <w:t>.</w:t>
      </w:r>
      <w:r w:rsidR="00B74CCE" w:rsidRPr="0037474E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D40077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Se instruye a la Dirección de Comunicación, Capacitación, Evaluación, Archivo y Datos Personales de este Instituto, realice los comunicados oficiales correspondientes del presente acuerdo y sean difundidos por los medios establecidos para esto. </w:t>
      </w:r>
    </w:p>
    <w:p w14:paraId="1EB5676A" w14:textId="0BA54933" w:rsidR="00245E58" w:rsidRPr="0037474E" w:rsidRDefault="00245E58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1AD060FC" w14:textId="5B36873F" w:rsidR="006D31F1" w:rsidRPr="0037474E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Así lo acordaron y firman quienes integran el Consejo General del Instituto de Acceso a la Información Pública y Protección de Datos Personales del Estado de Oaxaca, asistidos por </w:t>
      </w:r>
      <w:r w:rsidR="003B1523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el </w:t>
      </w:r>
      <w:proofErr w:type="gramStart"/>
      <w:r w:rsidRPr="0037474E">
        <w:rPr>
          <w:rFonts w:ascii="Arial Unicode MS" w:eastAsia="Arial Unicode MS" w:hAnsi="Arial Unicode MS" w:cs="Arial Unicode MS"/>
          <w:sz w:val="22"/>
          <w:szCs w:val="22"/>
        </w:rPr>
        <w:t>Secretar</w:t>
      </w:r>
      <w:r w:rsidR="003B1523" w:rsidRPr="0037474E">
        <w:rPr>
          <w:rFonts w:ascii="Arial Unicode MS" w:eastAsia="Arial Unicode MS" w:hAnsi="Arial Unicode MS" w:cs="Arial Unicode MS"/>
          <w:sz w:val="22"/>
          <w:szCs w:val="22"/>
        </w:rPr>
        <w:t>io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General</w:t>
      </w:r>
      <w:proofErr w:type="gramEnd"/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 de Acuerdos, quien autoriza y da fe, en la ciudad de Oaxaca de Juárez, Oaxaca, a </w:t>
      </w:r>
      <w:r w:rsidR="00913323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treinta y uno </w:t>
      </w:r>
      <w:r w:rsidR="00535173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de agosto 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>del año dos mil vein</w:t>
      </w:r>
      <w:r w:rsidR="00535173" w:rsidRPr="0037474E">
        <w:rPr>
          <w:rFonts w:ascii="Arial Unicode MS" w:eastAsia="Arial Unicode MS" w:hAnsi="Arial Unicode MS" w:cs="Arial Unicode MS"/>
          <w:sz w:val="22"/>
          <w:szCs w:val="22"/>
        </w:rPr>
        <w:t>tiuno</w:t>
      </w: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. Conste. </w:t>
      </w:r>
      <w:r w:rsidR="00535173"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- - - - - - - - - - - - - - - - - - - - - - - - - - - - - - - - - - - - - - - - - </w:t>
      </w:r>
    </w:p>
    <w:p w14:paraId="47255F57" w14:textId="77777777" w:rsidR="006D31F1" w:rsidRPr="0037474E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2DFBEC9A" w14:textId="77777777" w:rsidR="003B1523" w:rsidRPr="0037474E" w:rsidRDefault="003B1523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0812FAC6" w14:textId="77777777" w:rsidR="00621BDA" w:rsidRPr="0037474E" w:rsidRDefault="00621BDA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50CC0366" w14:textId="77777777" w:rsidR="006D31F1" w:rsidRPr="0037474E" w:rsidRDefault="006D31F1" w:rsidP="00ED421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b/>
          <w:sz w:val="22"/>
          <w:szCs w:val="22"/>
        </w:rPr>
        <w:t>Mtra. María Antonieta Velásquez Chagoya</w:t>
      </w:r>
    </w:p>
    <w:p w14:paraId="3DAB5312" w14:textId="77777777" w:rsidR="006D31F1" w:rsidRPr="00ED421C" w:rsidRDefault="006D31F1" w:rsidP="00ED421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37474E">
        <w:rPr>
          <w:rFonts w:ascii="Arial Unicode MS" w:eastAsia="Arial Unicode MS" w:hAnsi="Arial Unicode MS" w:cs="Arial Unicode MS"/>
          <w:sz w:val="22"/>
          <w:szCs w:val="22"/>
        </w:rPr>
        <w:t xml:space="preserve">Comisionada </w:t>
      </w:r>
      <w:proofErr w:type="gramStart"/>
      <w:r w:rsidRPr="0037474E">
        <w:rPr>
          <w:rFonts w:ascii="Arial Unicode MS" w:eastAsia="Arial Unicode MS" w:hAnsi="Arial Unicode MS" w:cs="Arial Unicode MS"/>
          <w:sz w:val="22"/>
          <w:szCs w:val="22"/>
        </w:rPr>
        <w:t>Presidenta</w:t>
      </w:r>
      <w:proofErr w:type="gramEnd"/>
    </w:p>
    <w:p w14:paraId="709EAC68" w14:textId="77777777" w:rsidR="006D31F1" w:rsidRPr="00ED421C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12490DF1" w14:textId="77777777" w:rsidR="006D31F1" w:rsidRPr="00ED421C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17A88948" w14:textId="77777777" w:rsidR="006D31F1" w:rsidRPr="00ED421C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37A74182" w14:textId="77777777" w:rsidR="006D31F1" w:rsidRPr="00ED421C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2688F477" w14:textId="77777777" w:rsidR="006D31F1" w:rsidRPr="00ED421C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6F1743B5" w14:textId="77777777" w:rsidR="006D31F1" w:rsidRPr="00ED421C" w:rsidRDefault="006D31F1" w:rsidP="00ED421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D421C">
        <w:rPr>
          <w:rFonts w:ascii="Arial Unicode MS" w:eastAsia="Arial Unicode MS" w:hAnsi="Arial Unicode MS" w:cs="Arial Unicode MS"/>
          <w:b/>
          <w:sz w:val="22"/>
          <w:szCs w:val="22"/>
        </w:rPr>
        <w:t>Lic. Fernando Rodolfo Gómez Cuevas</w:t>
      </w:r>
    </w:p>
    <w:p w14:paraId="6A8D65B8" w14:textId="77777777" w:rsidR="006D31F1" w:rsidRPr="00ED421C" w:rsidRDefault="006D31F1" w:rsidP="00ED421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ED421C">
        <w:rPr>
          <w:rFonts w:ascii="Arial Unicode MS" w:eastAsia="Arial Unicode MS" w:hAnsi="Arial Unicode MS" w:cs="Arial Unicode MS"/>
          <w:sz w:val="22"/>
          <w:szCs w:val="22"/>
        </w:rPr>
        <w:t>Comisionado</w:t>
      </w:r>
    </w:p>
    <w:p w14:paraId="4D84447F" w14:textId="77777777" w:rsidR="006D31F1" w:rsidRPr="00ED421C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66449141" w14:textId="77777777" w:rsidR="006D31F1" w:rsidRPr="00ED421C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6F8551A3" w14:textId="77777777" w:rsidR="006D31F1" w:rsidRPr="00ED421C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6899D10D" w14:textId="77777777" w:rsidR="006D31F1" w:rsidRPr="00ED421C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6FF5BCDB" w14:textId="77777777" w:rsidR="006D31F1" w:rsidRPr="00ED421C" w:rsidRDefault="006D31F1" w:rsidP="00ED421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415B154B" w14:textId="77777777" w:rsidR="006D31F1" w:rsidRPr="00ED421C" w:rsidRDefault="006D31F1" w:rsidP="00ED421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D421C">
        <w:rPr>
          <w:rFonts w:ascii="Arial Unicode MS" w:eastAsia="Arial Unicode MS" w:hAnsi="Arial Unicode MS" w:cs="Arial Unicode MS"/>
          <w:b/>
          <w:sz w:val="22"/>
          <w:szCs w:val="22"/>
        </w:rPr>
        <w:t>Lic. Guadalupe Gustavo Díaz Altamirano</w:t>
      </w:r>
    </w:p>
    <w:p w14:paraId="7B535D40" w14:textId="697DCAB3" w:rsidR="00CE37A0" w:rsidRDefault="00265AB1" w:rsidP="00ED421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ED421C">
        <w:rPr>
          <w:rFonts w:ascii="Arial Unicode MS" w:eastAsia="Arial Unicode MS" w:hAnsi="Arial Unicode MS" w:cs="Arial Unicode MS"/>
          <w:sz w:val="22"/>
          <w:szCs w:val="22"/>
        </w:rPr>
        <w:t>Secretario General de Acuerdo</w:t>
      </w:r>
    </w:p>
    <w:p w14:paraId="19D6378E" w14:textId="4A1E0619" w:rsidR="00621BDA" w:rsidRDefault="00621BDA" w:rsidP="00ED421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7CDCB9CE" w14:textId="00DFC503" w:rsidR="00621BDA" w:rsidRPr="00621BDA" w:rsidRDefault="00621BDA" w:rsidP="00621BDA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621BDA">
        <w:rPr>
          <w:rFonts w:ascii="Arial Unicode MS" w:eastAsia="Arial Unicode MS" w:hAnsi="Arial Unicode MS" w:cs="Arial Unicode MS"/>
          <w:sz w:val="18"/>
          <w:szCs w:val="18"/>
        </w:rPr>
        <w:t>LAS PRESENTES FIRMAS CORRESPONDEN AL ACUERDO ACDO/CG/IAIP/0</w:t>
      </w:r>
      <w:r>
        <w:rPr>
          <w:rFonts w:ascii="Arial Unicode MS" w:eastAsia="Arial Unicode MS" w:hAnsi="Arial Unicode MS" w:cs="Arial Unicode MS"/>
          <w:sz w:val="18"/>
          <w:szCs w:val="18"/>
        </w:rPr>
        <w:t>66</w:t>
      </w:r>
      <w:r w:rsidRPr="00621BDA">
        <w:rPr>
          <w:rFonts w:ascii="Arial Unicode MS" w:eastAsia="Arial Unicode MS" w:hAnsi="Arial Unicode MS" w:cs="Arial Unicode MS"/>
          <w:sz w:val="18"/>
          <w:szCs w:val="18"/>
        </w:rPr>
        <w:t>/2021, EMITIDO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21BDA">
        <w:rPr>
          <w:rFonts w:ascii="Arial Unicode MS" w:eastAsia="Arial Unicode MS" w:hAnsi="Arial Unicode MS" w:cs="Arial Unicode MS"/>
          <w:sz w:val="18"/>
          <w:szCs w:val="18"/>
        </w:rPr>
        <w:t>POR EL CONSEJO GENERAL DEL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21BDA">
        <w:rPr>
          <w:rFonts w:ascii="Arial Unicode MS" w:eastAsia="Arial Unicode MS" w:hAnsi="Arial Unicode MS" w:cs="Arial Unicode MS"/>
          <w:sz w:val="18"/>
          <w:szCs w:val="18"/>
        </w:rPr>
        <w:t>INSTITUTO DE ACCESO A LA INFORMACIÓN PÚBLICA Y PROTECCIÓN DE DATOS PERSONALES, EN EL ESTADO DE OAXACA.</w:t>
      </w:r>
    </w:p>
    <w:sectPr w:rsidR="00621BDA" w:rsidRPr="00621BDA" w:rsidSect="005206A9">
      <w:headerReference w:type="default" r:id="rId10"/>
      <w:footerReference w:type="default" r:id="rId11"/>
      <w:pgSz w:w="12240" w:h="20160" w:code="5"/>
      <w:pgMar w:top="1701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4EBE" w14:textId="77777777" w:rsidR="00AE5C93" w:rsidRDefault="00AE5C93" w:rsidP="00505074">
      <w:r>
        <w:separator/>
      </w:r>
    </w:p>
  </w:endnote>
  <w:endnote w:type="continuationSeparator" w:id="0">
    <w:p w14:paraId="6ABCFD56" w14:textId="77777777" w:rsidR="00AE5C93" w:rsidRDefault="00AE5C9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761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26E9B" w14:textId="1D074C09" w:rsidR="008F5D0D" w:rsidRDefault="008F5D0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93C9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93C9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CD2423" w14:textId="2B2DC16E"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0745" w14:textId="77777777" w:rsidR="00AE5C93" w:rsidRDefault="00AE5C93" w:rsidP="00505074">
      <w:r>
        <w:separator/>
      </w:r>
    </w:p>
  </w:footnote>
  <w:footnote w:type="continuationSeparator" w:id="0">
    <w:p w14:paraId="7AD3531F" w14:textId="77777777" w:rsidR="00AE5C93" w:rsidRDefault="00AE5C9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72F515D9" w:rsidR="00DC65C4" w:rsidRDefault="00DC65C4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val="en-US"/>
      </w:rPr>
      <w:drawing>
        <wp:anchor distT="0" distB="0" distL="114300" distR="114300" simplePos="0" relativeHeight="251672576" behindDoc="0" locked="0" layoutInCell="1" allowOverlap="1" wp14:anchorId="3F541A32" wp14:editId="7D9ECA94">
          <wp:simplePos x="0" y="0"/>
          <wp:positionH relativeFrom="margin">
            <wp:align>center</wp:align>
          </wp:positionH>
          <wp:positionV relativeFrom="paragraph">
            <wp:posOffset>-434340</wp:posOffset>
          </wp:positionV>
          <wp:extent cx="6355023" cy="105955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7C6F"/>
    <w:multiLevelType w:val="hybridMultilevel"/>
    <w:tmpl w:val="07C8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A06C1"/>
    <w:multiLevelType w:val="hybridMultilevel"/>
    <w:tmpl w:val="BE348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13859"/>
    <w:rsid w:val="00026A34"/>
    <w:rsid w:val="00037362"/>
    <w:rsid w:val="00067854"/>
    <w:rsid w:val="00070038"/>
    <w:rsid w:val="00071CA7"/>
    <w:rsid w:val="00075AB7"/>
    <w:rsid w:val="000776F5"/>
    <w:rsid w:val="000814E0"/>
    <w:rsid w:val="0008244E"/>
    <w:rsid w:val="000853C0"/>
    <w:rsid w:val="000866D8"/>
    <w:rsid w:val="000C4A22"/>
    <w:rsid w:val="000D0423"/>
    <w:rsid w:val="000D568E"/>
    <w:rsid w:val="001067DB"/>
    <w:rsid w:val="00112DA2"/>
    <w:rsid w:val="00113F51"/>
    <w:rsid w:val="00135DCF"/>
    <w:rsid w:val="00137780"/>
    <w:rsid w:val="001462D2"/>
    <w:rsid w:val="00150315"/>
    <w:rsid w:val="001548D0"/>
    <w:rsid w:val="001552EF"/>
    <w:rsid w:val="001561E3"/>
    <w:rsid w:val="0015705D"/>
    <w:rsid w:val="001651C9"/>
    <w:rsid w:val="00175AF8"/>
    <w:rsid w:val="00185077"/>
    <w:rsid w:val="00185FFF"/>
    <w:rsid w:val="0019108F"/>
    <w:rsid w:val="00191709"/>
    <w:rsid w:val="00192E97"/>
    <w:rsid w:val="001A4F20"/>
    <w:rsid w:val="001C17E3"/>
    <w:rsid w:val="001C3A24"/>
    <w:rsid w:val="001C44E1"/>
    <w:rsid w:val="001C5977"/>
    <w:rsid w:val="001D30EE"/>
    <w:rsid w:val="001F59B8"/>
    <w:rsid w:val="00216A75"/>
    <w:rsid w:val="00222AFD"/>
    <w:rsid w:val="0023561D"/>
    <w:rsid w:val="00245E58"/>
    <w:rsid w:val="00253F73"/>
    <w:rsid w:val="0025641D"/>
    <w:rsid w:val="00265AB1"/>
    <w:rsid w:val="00265F41"/>
    <w:rsid w:val="0027005A"/>
    <w:rsid w:val="0027606C"/>
    <w:rsid w:val="002762D3"/>
    <w:rsid w:val="00287309"/>
    <w:rsid w:val="002919FD"/>
    <w:rsid w:val="002F2A9E"/>
    <w:rsid w:val="00305C0D"/>
    <w:rsid w:val="003134D9"/>
    <w:rsid w:val="00320B59"/>
    <w:rsid w:val="003365F9"/>
    <w:rsid w:val="0035346A"/>
    <w:rsid w:val="003608DC"/>
    <w:rsid w:val="00364443"/>
    <w:rsid w:val="0037163E"/>
    <w:rsid w:val="0037474E"/>
    <w:rsid w:val="003807EA"/>
    <w:rsid w:val="00394010"/>
    <w:rsid w:val="003A266B"/>
    <w:rsid w:val="003A6D57"/>
    <w:rsid w:val="003B1523"/>
    <w:rsid w:val="003B39A7"/>
    <w:rsid w:val="003B7227"/>
    <w:rsid w:val="003C2F8E"/>
    <w:rsid w:val="003E3EF6"/>
    <w:rsid w:val="003F7C21"/>
    <w:rsid w:val="00417D2B"/>
    <w:rsid w:val="004354FD"/>
    <w:rsid w:val="004611C5"/>
    <w:rsid w:val="00484139"/>
    <w:rsid w:val="00484A8E"/>
    <w:rsid w:val="00497B08"/>
    <w:rsid w:val="004A577E"/>
    <w:rsid w:val="00505074"/>
    <w:rsid w:val="00510116"/>
    <w:rsid w:val="005206A9"/>
    <w:rsid w:val="005209D9"/>
    <w:rsid w:val="005253C6"/>
    <w:rsid w:val="00535173"/>
    <w:rsid w:val="00543AA9"/>
    <w:rsid w:val="00564E53"/>
    <w:rsid w:val="0056639A"/>
    <w:rsid w:val="0058230F"/>
    <w:rsid w:val="00590573"/>
    <w:rsid w:val="00593C9C"/>
    <w:rsid w:val="0059434D"/>
    <w:rsid w:val="005A6E93"/>
    <w:rsid w:val="005C4D84"/>
    <w:rsid w:val="005C74EA"/>
    <w:rsid w:val="005E0680"/>
    <w:rsid w:val="005F140A"/>
    <w:rsid w:val="00600E18"/>
    <w:rsid w:val="00605F42"/>
    <w:rsid w:val="0061401C"/>
    <w:rsid w:val="00621BDA"/>
    <w:rsid w:val="00623355"/>
    <w:rsid w:val="00636BF3"/>
    <w:rsid w:val="006505D8"/>
    <w:rsid w:val="006647D2"/>
    <w:rsid w:val="006667E3"/>
    <w:rsid w:val="00672AFB"/>
    <w:rsid w:val="006773E9"/>
    <w:rsid w:val="006A2906"/>
    <w:rsid w:val="006A335F"/>
    <w:rsid w:val="006A7A79"/>
    <w:rsid w:val="006B4C59"/>
    <w:rsid w:val="006D31F1"/>
    <w:rsid w:val="00716A55"/>
    <w:rsid w:val="007265D4"/>
    <w:rsid w:val="00727D2D"/>
    <w:rsid w:val="00732004"/>
    <w:rsid w:val="007321A8"/>
    <w:rsid w:val="00734992"/>
    <w:rsid w:val="007354A6"/>
    <w:rsid w:val="007529FA"/>
    <w:rsid w:val="00787F99"/>
    <w:rsid w:val="007912A3"/>
    <w:rsid w:val="007A68A0"/>
    <w:rsid w:val="007B7B26"/>
    <w:rsid w:val="007E34FB"/>
    <w:rsid w:val="007F041C"/>
    <w:rsid w:val="007F0F91"/>
    <w:rsid w:val="00801920"/>
    <w:rsid w:val="00823C38"/>
    <w:rsid w:val="0083096B"/>
    <w:rsid w:val="00890704"/>
    <w:rsid w:val="00892D49"/>
    <w:rsid w:val="008A027A"/>
    <w:rsid w:val="008A0731"/>
    <w:rsid w:val="008D44D4"/>
    <w:rsid w:val="008E4C10"/>
    <w:rsid w:val="008E7316"/>
    <w:rsid w:val="008F5D0D"/>
    <w:rsid w:val="009040BC"/>
    <w:rsid w:val="009069F4"/>
    <w:rsid w:val="00912A5B"/>
    <w:rsid w:val="00913323"/>
    <w:rsid w:val="00920943"/>
    <w:rsid w:val="00935620"/>
    <w:rsid w:val="00944C2C"/>
    <w:rsid w:val="009529BD"/>
    <w:rsid w:val="009843AD"/>
    <w:rsid w:val="0099575D"/>
    <w:rsid w:val="009968F7"/>
    <w:rsid w:val="009A7570"/>
    <w:rsid w:val="009B06C2"/>
    <w:rsid w:val="009B0F55"/>
    <w:rsid w:val="009B4013"/>
    <w:rsid w:val="009C5F8D"/>
    <w:rsid w:val="009C6586"/>
    <w:rsid w:val="009C65A0"/>
    <w:rsid w:val="009D7085"/>
    <w:rsid w:val="009F09F4"/>
    <w:rsid w:val="00A07BAF"/>
    <w:rsid w:val="00A12180"/>
    <w:rsid w:val="00A274C6"/>
    <w:rsid w:val="00A30443"/>
    <w:rsid w:val="00A46F66"/>
    <w:rsid w:val="00A52E48"/>
    <w:rsid w:val="00A56332"/>
    <w:rsid w:val="00A65F24"/>
    <w:rsid w:val="00A8656C"/>
    <w:rsid w:val="00A873B2"/>
    <w:rsid w:val="00A91A88"/>
    <w:rsid w:val="00A945D5"/>
    <w:rsid w:val="00AA3D4C"/>
    <w:rsid w:val="00AC2B90"/>
    <w:rsid w:val="00AC31F4"/>
    <w:rsid w:val="00AC3432"/>
    <w:rsid w:val="00AD1B29"/>
    <w:rsid w:val="00AE5C93"/>
    <w:rsid w:val="00B355A8"/>
    <w:rsid w:val="00B36B90"/>
    <w:rsid w:val="00B50204"/>
    <w:rsid w:val="00B616C7"/>
    <w:rsid w:val="00B71CF8"/>
    <w:rsid w:val="00B74CCE"/>
    <w:rsid w:val="00B75C79"/>
    <w:rsid w:val="00B819BA"/>
    <w:rsid w:val="00BA499D"/>
    <w:rsid w:val="00BB29DF"/>
    <w:rsid w:val="00BF4FBE"/>
    <w:rsid w:val="00BF7421"/>
    <w:rsid w:val="00C019E6"/>
    <w:rsid w:val="00C039BB"/>
    <w:rsid w:val="00C07082"/>
    <w:rsid w:val="00C16AD0"/>
    <w:rsid w:val="00C258F2"/>
    <w:rsid w:val="00C25E29"/>
    <w:rsid w:val="00C26F8E"/>
    <w:rsid w:val="00C300C0"/>
    <w:rsid w:val="00C335F7"/>
    <w:rsid w:val="00C36299"/>
    <w:rsid w:val="00C43515"/>
    <w:rsid w:val="00C502DF"/>
    <w:rsid w:val="00C61F7E"/>
    <w:rsid w:val="00C7771F"/>
    <w:rsid w:val="00CA7419"/>
    <w:rsid w:val="00CB5963"/>
    <w:rsid w:val="00CB7833"/>
    <w:rsid w:val="00CD1C24"/>
    <w:rsid w:val="00CE37A0"/>
    <w:rsid w:val="00CF392B"/>
    <w:rsid w:val="00CF5C9D"/>
    <w:rsid w:val="00D01948"/>
    <w:rsid w:val="00D03085"/>
    <w:rsid w:val="00D10F25"/>
    <w:rsid w:val="00D40077"/>
    <w:rsid w:val="00D540EA"/>
    <w:rsid w:val="00D55AD5"/>
    <w:rsid w:val="00D654F3"/>
    <w:rsid w:val="00D82935"/>
    <w:rsid w:val="00D96B13"/>
    <w:rsid w:val="00DB3560"/>
    <w:rsid w:val="00DB7A80"/>
    <w:rsid w:val="00DC0844"/>
    <w:rsid w:val="00DC0FCE"/>
    <w:rsid w:val="00DC1402"/>
    <w:rsid w:val="00DC65C4"/>
    <w:rsid w:val="00DF0499"/>
    <w:rsid w:val="00DF69A1"/>
    <w:rsid w:val="00E01150"/>
    <w:rsid w:val="00E025EF"/>
    <w:rsid w:val="00E313F9"/>
    <w:rsid w:val="00E329CD"/>
    <w:rsid w:val="00E41DC2"/>
    <w:rsid w:val="00E54588"/>
    <w:rsid w:val="00E60341"/>
    <w:rsid w:val="00E73640"/>
    <w:rsid w:val="00E74840"/>
    <w:rsid w:val="00E83A45"/>
    <w:rsid w:val="00E91723"/>
    <w:rsid w:val="00EA191E"/>
    <w:rsid w:val="00EC68E8"/>
    <w:rsid w:val="00ED421C"/>
    <w:rsid w:val="00EE48C4"/>
    <w:rsid w:val="00EE7138"/>
    <w:rsid w:val="00EE7D5A"/>
    <w:rsid w:val="00EF0D65"/>
    <w:rsid w:val="00EF41A3"/>
    <w:rsid w:val="00F023FE"/>
    <w:rsid w:val="00F02F8B"/>
    <w:rsid w:val="00F1247E"/>
    <w:rsid w:val="00F2043D"/>
    <w:rsid w:val="00F31EAB"/>
    <w:rsid w:val="00F359E8"/>
    <w:rsid w:val="00F36075"/>
    <w:rsid w:val="00F36284"/>
    <w:rsid w:val="00F375AD"/>
    <w:rsid w:val="00F56F58"/>
    <w:rsid w:val="00F854FE"/>
    <w:rsid w:val="00F86FD5"/>
    <w:rsid w:val="00F9606A"/>
    <w:rsid w:val="00FA324D"/>
    <w:rsid w:val="00FA3485"/>
    <w:rsid w:val="00FA5D7B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25098C27-944A-418A-AC53-3F7142E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A1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124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5E5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5E58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3561D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06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s@iaipoaxaca.org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aipoaxaca.org.mx/PNT/sis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DC0E09-9813-40EB-A021-1A93B33A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2104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S. DE ACUERDOS</cp:lastModifiedBy>
  <cp:revision>15</cp:revision>
  <cp:lastPrinted>2021-08-27T18:11:00Z</cp:lastPrinted>
  <dcterms:created xsi:type="dcterms:W3CDTF">2021-08-27T17:37:00Z</dcterms:created>
  <dcterms:modified xsi:type="dcterms:W3CDTF">2021-08-31T16:18:00Z</dcterms:modified>
</cp:coreProperties>
</file>